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DE93B">
      <w:pPr>
        <w:jc w:val="center"/>
        <w:rPr>
          <w:rFonts w:hint="eastAsia" w:ascii="方正小标宋简体" w:hAnsi="方正小标宋简体" w:eastAsia="方正小标宋简体" w:cs="方正小标宋简体"/>
          <w:sz w:val="2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44138"/>
          <w:spacing w:val="0"/>
          <w:sz w:val="40"/>
          <w:szCs w:val="40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44138"/>
          <w:spacing w:val="0"/>
          <w:sz w:val="40"/>
          <w:szCs w:val="40"/>
          <w:shd w:val="clear" w:fill="FFFFFF"/>
          <w:lang w:val="en-US" w:eastAsia="zh-CN"/>
        </w:rPr>
        <w:t>6-2027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44138"/>
          <w:spacing w:val="0"/>
          <w:sz w:val="40"/>
          <w:szCs w:val="40"/>
          <w:shd w:val="clear" w:fill="FFFFFF"/>
        </w:rPr>
        <w:t>年度放射工作人员职业外照射个人剂量监测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44138"/>
          <w:spacing w:val="0"/>
          <w:sz w:val="40"/>
          <w:szCs w:val="40"/>
          <w:shd w:val="clear" w:fill="FFFFFF"/>
          <w:lang w:eastAsia="zh-CN"/>
        </w:rPr>
        <w:t>服务需求</w:t>
      </w:r>
    </w:p>
    <w:p w14:paraId="7AA7C0D8">
      <w:pPr>
        <w:rPr>
          <w:rFonts w:hint="eastAsia"/>
          <w:lang w:val="en-US" w:eastAsia="zh-CN"/>
        </w:rPr>
      </w:pPr>
    </w:p>
    <w:p w14:paraId="6CD5B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一、资格条件</w:t>
      </w:r>
    </w:p>
    <w:p w14:paraId="51B06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一般资格条件</w:t>
      </w:r>
    </w:p>
    <w:p w14:paraId="6D347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1.具有独立承担民事责任的能力；</w:t>
      </w:r>
    </w:p>
    <w:p w14:paraId="41ABB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2.具有良好的商业信誉和健全的财务会计制度；</w:t>
      </w:r>
    </w:p>
    <w:p w14:paraId="24924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3.具有履行合同所必需的设备和专业技术能力；</w:t>
      </w:r>
    </w:p>
    <w:p w14:paraId="6B608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4.有依法缴纳税收和社会保障资金的良好记录；</w:t>
      </w:r>
    </w:p>
    <w:p w14:paraId="7C746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5.参加政府采购活动前三年内，在经营活动中没有重大违法记录；</w:t>
      </w:r>
    </w:p>
    <w:p w14:paraId="487CA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6.法律、行政法规规定的其他条件。</w:t>
      </w:r>
    </w:p>
    <w:p w14:paraId="258BB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（二）特定资格条件</w:t>
      </w:r>
    </w:p>
    <w:p w14:paraId="48A18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1.服务提供方须具备开展放射人员个人剂量监测的资质。</w:t>
      </w:r>
    </w:p>
    <w:p w14:paraId="78126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二、服务内容</w:t>
      </w:r>
    </w:p>
    <w:p w14:paraId="55304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1.对医院从事放射人员的个人剂量仪进行监测，以国家法律法规及标准为依据出具相应的监测报告。</w:t>
      </w:r>
    </w:p>
    <w:p w14:paraId="14C8C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三、检测周期及要求</w:t>
      </w:r>
    </w:p>
    <w:p w14:paraId="7A9E6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1.个人剂量监测全年共四个周期，每季度为一周期。服务提供方每季度安排人员到医院现场收取该周期需检测的剂量仪。</w:t>
      </w:r>
    </w:p>
    <w:p w14:paraId="68E24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2.服务方在收到返回的个人剂量仪后，20日以内出具正式书面监测报告。</w:t>
      </w:r>
      <w:bookmarkStart w:id="0" w:name="_GoBack"/>
      <w:bookmarkEnd w:id="0"/>
    </w:p>
    <w:p w14:paraId="32557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四、服务期限</w:t>
      </w:r>
    </w:p>
    <w:p w14:paraId="74139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二年</w:t>
      </w:r>
    </w:p>
    <w:p w14:paraId="31FE7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五、服务费用及支付方式</w:t>
      </w:r>
    </w:p>
    <w:p w14:paraId="11BE6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单价结算，按**元/人次计算，实际费用由医院确认当季监测数量后按实支付。</w:t>
      </w:r>
    </w:p>
    <w:p w14:paraId="52C15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F64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080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D5E8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8A1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42C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公共卫生科</w:t>
      </w:r>
    </w:p>
    <w:p w14:paraId="46DC8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2026年3月18日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C1F8D"/>
    <w:rsid w:val="16682945"/>
    <w:rsid w:val="24D70520"/>
    <w:rsid w:val="25731160"/>
    <w:rsid w:val="304A21E7"/>
    <w:rsid w:val="3E781730"/>
    <w:rsid w:val="445C4A47"/>
    <w:rsid w:val="65F27780"/>
    <w:rsid w:val="69007038"/>
    <w:rsid w:val="6B9E6A1E"/>
    <w:rsid w:val="7EB4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2026-03-18T03:58:09Z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2EEEB136AF5D49B7B3F4350902892A65_13</vt:lpwstr>
  </property>
</Properties>
</file>