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4ED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医院物业管理服务采购需求</w:t>
      </w:r>
    </w:p>
    <w:p w14:paraId="598B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93D75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为做好医院物业管理服务工作，保障医院诊疗业务的正常开展，拟对医院环境卫生及电力维修保障人员进行招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0A4527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一、岗位人员设置</w:t>
      </w:r>
    </w:p>
    <w:tbl>
      <w:tblPr>
        <w:tblStyle w:val="8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270"/>
        <w:gridCol w:w="1815"/>
        <w:gridCol w:w="3338"/>
      </w:tblGrid>
      <w:tr w14:paraId="7B5C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849" w:type="dxa"/>
            <w:vAlign w:val="center"/>
          </w:tcPr>
          <w:p w14:paraId="12E0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70" w:type="dxa"/>
            <w:vAlign w:val="center"/>
          </w:tcPr>
          <w:p w14:paraId="4494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岗位设置</w:t>
            </w:r>
          </w:p>
        </w:tc>
        <w:tc>
          <w:tcPr>
            <w:tcW w:w="1815" w:type="dxa"/>
            <w:vAlign w:val="center"/>
          </w:tcPr>
          <w:p w14:paraId="1C62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人员需求（人）</w:t>
            </w:r>
          </w:p>
        </w:tc>
        <w:tc>
          <w:tcPr>
            <w:tcW w:w="3338" w:type="dxa"/>
            <w:vAlign w:val="center"/>
          </w:tcPr>
          <w:p w14:paraId="409D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37EE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49" w:type="dxa"/>
            <w:vAlign w:val="center"/>
          </w:tcPr>
          <w:p w14:paraId="734DC627"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70" w:type="dxa"/>
            <w:vAlign w:val="center"/>
          </w:tcPr>
          <w:p w14:paraId="6D52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卫生保洁员</w:t>
            </w:r>
          </w:p>
        </w:tc>
        <w:tc>
          <w:tcPr>
            <w:tcW w:w="1815" w:type="dxa"/>
            <w:vAlign w:val="center"/>
          </w:tcPr>
          <w:p w14:paraId="018F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38" w:type="dxa"/>
            <w:vAlign w:val="center"/>
          </w:tcPr>
          <w:p w14:paraId="52EA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仿宋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Cs w:val="21"/>
                <w:lang w:val="en-US" w:eastAsia="zh-CN"/>
              </w:rPr>
              <w:t>需具备医疗机构保洁工作经验者优先，熟悉医疗环境消毒规范。</w:t>
            </w:r>
          </w:p>
        </w:tc>
      </w:tr>
      <w:tr w14:paraId="0BF1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49" w:type="dxa"/>
            <w:vAlign w:val="center"/>
          </w:tcPr>
          <w:p w14:paraId="5FC57FF6">
            <w:pPr>
              <w:spacing w:line="400" w:lineRule="exact"/>
              <w:jc w:val="center"/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 w14:paraId="7872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电力保障（低压配电作业）人员</w:t>
            </w:r>
          </w:p>
        </w:tc>
        <w:tc>
          <w:tcPr>
            <w:tcW w:w="1815" w:type="dxa"/>
            <w:vAlign w:val="center"/>
          </w:tcPr>
          <w:p w14:paraId="7FC3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sz w:val="22"/>
                <w:szCs w:val="22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38" w:type="dxa"/>
            <w:vAlign w:val="center"/>
          </w:tcPr>
          <w:p w14:paraId="1783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仿宋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仿宋"/>
                <w:szCs w:val="21"/>
                <w:lang w:eastAsia="zh-CN"/>
              </w:rPr>
              <w:t>需持低压电工特种作业操作证上岗，具备2年及以上配电运维、电气维修相关工作经验，无重大安全操作事故记录。</w:t>
            </w:r>
          </w:p>
        </w:tc>
      </w:tr>
    </w:tbl>
    <w:p w14:paraId="71C97C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二、工作时间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zh-CN"/>
        </w:rPr>
        <w:t>及考勤要求</w:t>
      </w:r>
    </w:p>
    <w:p w14:paraId="4D302A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（一）卫生保洁员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7C97A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工作时间：每日6:30—12:00、13:00—17:30，每月合理安排休息，确保院区保洁工作无空档；</w:t>
      </w:r>
    </w:p>
    <w:p w14:paraId="1D5663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考勤要求：严格遵守医院考勤制度，迟到、早退按考核标准执行，请假需提前向医院物业管理主管部门报备，安排顶岗人员后方可离岗。</w:t>
      </w:r>
    </w:p>
    <w:p w14:paraId="2FB1B4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（二）电力保障人员</w:t>
      </w:r>
    </w:p>
    <w:p w14:paraId="60313F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工作时间：实行</w:t>
      </w:r>
      <w:r>
        <w:rPr>
          <w:rStyle w:val="10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24小时三班制值班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（具体排班表由医院管理部门核定），确保院区电力保障全年无间断；</w:t>
      </w:r>
    </w:p>
    <w:p w14:paraId="0A2D77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考勤要求：值班人员需提前15分钟到岗进行交接班，做好工作交接记录，严禁脱岗、空岗，特殊情况需经主管部门批准并安排替班。</w:t>
      </w:r>
    </w:p>
    <w:p w14:paraId="4379F4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三、服务内容及技术要求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（考核标准详见附件）</w:t>
      </w:r>
    </w:p>
    <w:p w14:paraId="3AEA37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（一）卫生保洁人员。</w:t>
      </w:r>
    </w:p>
    <w:p w14:paraId="232FB8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zh-CN" w:eastAsia="zh-CN" w:bidi="zh-CN"/>
        </w:rPr>
        <w:t>核心要求：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遵循《医疗机构环境表面清洁与消毒管理规范》，做到保洁及时、消毒规范、环境整洁，作业过程低尘、低噪，避免影响院区正常诊疗秩序。</w:t>
      </w:r>
    </w:p>
    <w:p w14:paraId="1B0590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1.地面保洁：保持院区所有公共区域地面干净、整洁，非雨季/雨天保持干爽，杂物随见随清；若地面出现血、污液等医疗污染物，需立即按规范进行消毒处理，做好处理记录。</w:t>
      </w:r>
    </w:p>
    <w:p w14:paraId="07889F71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2.垃圾处置：垃圾箱/桶内垃圾满即清倒，每日对垃圾箱/桶进行清洁消毒，确保周边无异味、无散落垃圾，医疗垃圾与生活垃圾按医院规定分类处置，流程规范。</w:t>
      </w:r>
    </w:p>
    <w:p w14:paraId="03D0E711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.设施及环境养护：院区明渠保持畅通无堵塞；地面及各类附设物无明显青苔、杂草，定期进行清理养护；屋面各平台保持干净，垃圾、水迹（雨天除外）及时清理，无明显垃圾、污垢、青苔。</w:t>
      </w:r>
    </w:p>
    <w:p w14:paraId="66D597C8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.张贴物清理：各类标识、墙壁、宣传栏上的不当广告、随意张贴物及时清理，清理后不留明显污痕，保持院区视觉整洁。</w:t>
      </w:r>
    </w:p>
    <w:p w14:paraId="36F16DF5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.作业规范：清扫、清洗地面及公共附设物时，采取有效降尘、降噪措施，不产生过分扬尘及噪声，作业时间避开诊疗高峰时段（特殊情况除外）。</w:t>
      </w:r>
    </w:p>
    <w:p w14:paraId="1F8527B3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下水道疏通：负责医院公共下水道、排水管网、雨水井、污水井、化粪池支管的日常疏通养护；及时处理卫生间、楼道、公共区域因杂物造成的排水不畅问题，疏通作业后立即对现场进行清理、保洁、消毒，保持环境整洁无异味，做好疏通作业记录。</w:t>
      </w:r>
    </w:p>
    <w:p w14:paraId="06CC5A01"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.附属设施保洁：院区宣传栏、栏杆、窗框、消防器材、座椅等公共设施，定期清洁擦拭，做到无污迹、无积尘、无蜘蛛网。</w:t>
      </w:r>
    </w:p>
    <w:p w14:paraId="2F0016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  <w:t>（二）电力保障人员</w:t>
      </w:r>
    </w:p>
    <w:p w14:paraId="3B74D9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ascii="宋体" w:hAnsi="宋体" w:eastAsia="宋体" w:cs="宋体"/>
          <w:sz w:val="28"/>
          <w:szCs w:val="28"/>
        </w:rPr>
        <w:t>核心要求：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持有效证件上岗，严格遵守《配电电操作规范》，做好院区低压配电系统及照明系统的巡检、维修、养护，做到隐患早发现、故障快处置，保障院区非医疗类用电安全、稳定，工作中坚持勤俭节约、修旧利废。</w:t>
      </w:r>
    </w:p>
    <w:p w14:paraId="497236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1.日常照明及普通电器运维。</w:t>
      </w:r>
    </w:p>
    <w:p w14:paraId="66C32D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（1）每周对院区各区域日常照明系统、生活电器、非医疗类普通电器进行全面巡检，及时维修、更换、调整故障或不规范的灯具、电器，做好巡检及维修记录；</w:t>
      </w:r>
    </w:p>
    <w:p w14:paraId="4EA798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（2）接到照明/电器报修后，15分钟内响应，及时前往现场处置，确保维修效率；</w:t>
      </w:r>
    </w:p>
    <w:p w14:paraId="5CC175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（3）根据医院要求，完成日常照明系统的小批量安装、改造、维修工作；</w:t>
      </w:r>
    </w:p>
    <w:p w14:paraId="7A744F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（4）非服务范围：日常照明系统大批量新建、安装、改造、维修等（如需开展，另行协商）。</w:t>
      </w:r>
    </w:p>
    <w:p w14:paraId="097ABB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2.各楼层配电系统运维。</w:t>
      </w:r>
    </w:p>
    <w:p w14:paraId="12BDA2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覆盖范围：各楼层配电箱、开关插座、电路，及强电井、护士站、走廊、病房、新风机房、办公室、值班室、开水器、电梯机房、生活泵房控制柜、污水处理站、热水锅炉、路灯、太阳能热水器等区域的配电系统及用电安全。</w:t>
      </w:r>
    </w:p>
    <w:p w14:paraId="151DBB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（1）巡检要求：每周至少开展1次全面巡检，高压用电区域、诊疗关键区域等重点部位每周巡检不少于2次，做好巡检记录，记录需包含巡检时间、区域、设备状态、发现问题及处理情况；</w:t>
      </w:r>
    </w:p>
    <w:p w14:paraId="24F267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（2）故障处置：根据巡检或报修情况，立即消除用电隐患、排除故障，确保配电系统安全运行，重大故障需第一时间向医院管理部门及供应商现场主管汇报；</w:t>
      </w:r>
    </w:p>
    <w:p w14:paraId="56D820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（3）改造维修：根据医院要求，完成供电系统的小批量安装、改造、维修工作；</w:t>
      </w:r>
    </w:p>
    <w:p w14:paraId="5D5475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（4）预防性保养：定期对配电系统进行预防性保养，检查接线部件是否牢固、有无发热现象，及时进行故障处理及设备清洁卫生工作；定期开展插座测试，确保用电安全；</w:t>
      </w:r>
    </w:p>
    <w:p w14:paraId="1B76AA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（5）非服务范围：超过项目办单日总工时17%的各楼层配电系统大批量新建、安装、改造、维修等（如需开展，另行协商）。</w:t>
      </w:r>
    </w:p>
    <w:p w14:paraId="1464AD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3.通用工作要求。</w:t>
      </w:r>
    </w:p>
    <w:p w14:paraId="1FE16A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（1）勤俭节约：维修工作中坚持修旧利废，物尽其用，无法维修的设备/部件需及时报告供应商现场主管或院方，经确认后再进行更换；</w:t>
      </w:r>
    </w:p>
    <w:p w14:paraId="6D20FB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（2）材料管理：更换的电工维修材料需如实填写材料出库单，维修项目全程记录，做到账物相符，严禁故意浪费维修耗材；</w:t>
      </w:r>
    </w:p>
    <w:p w14:paraId="1C672C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zh-CN" w:eastAsia="zh-CN" w:bidi="zh-CN"/>
        </w:rPr>
        <w:t>（3）安全操作：严格按照《配电电操作规范》开展作业，协助高压作业电工完成低压配电操作，全程做好安全防护，杜绝安全操作事故。</w:t>
      </w:r>
    </w:p>
    <w:p w14:paraId="703062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zh-CN"/>
        </w:rPr>
        <w:t>四、服务期限。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本次物业服务采购服务期限为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年，实行一年一签合同模式：</w:t>
      </w:r>
    </w:p>
    <w:p w14:paraId="461DB7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首次签订1年期物业服务合同；</w:t>
      </w:r>
    </w:p>
    <w:p w14:paraId="6FDF3E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每合同期满后，由医院主管部门对供应商的服务质量、考核成绩、履约情况进行综合评估，考核合格的，可续签下一年度合同；</w:t>
      </w:r>
    </w:p>
    <w:p w14:paraId="5684CF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本项目最多续签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次，累计服务期限不超过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年。</w:t>
      </w:r>
    </w:p>
    <w:p w14:paraId="68DF40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zh-CN"/>
        </w:rPr>
        <w:t>五、供应商基本要求</w:t>
      </w:r>
    </w:p>
    <w:p w14:paraId="67DEE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1.具备独立法人资格，持有有效的营业执照，经营范围包含物业管理、保洁服务、电气维修等相关内容；</w:t>
      </w:r>
    </w:p>
    <w:p w14:paraId="141934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2.具有医疗机构物业服务经验者优先，近3年无重大安全事故、无违法违规经营记录、无物业服务投诉败诉记录；</w:t>
      </w:r>
    </w:p>
    <w:p w14:paraId="4151F7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3.按要求配置岗位人员，所有人员均需进行岗前培训，考核合格后方可上岗，定期组织在岗人员开展医疗环境服务、用电安全等专业培训；</w:t>
      </w:r>
    </w:p>
    <w:p w14:paraId="0081D4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4.为所有上岗人员购买工伤保险、人身意外伤害保险等相关保险，承担人员作业过程中的安全事故责任；</w:t>
      </w:r>
    </w:p>
    <w:p w14:paraId="68B5E2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5.配备符合医院工作需求的保洁设备、消毒用品、电工维修工具及耗材，确保设备/用品完好、充足，符合国家环保及医疗安全标准；</w:t>
      </w:r>
    </w:p>
    <w:p w14:paraId="49A327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6.建立完善的物业服务管理制度、安全操作规范、应急处置预案（如突发停电、排水堵塞、医疗污染物泄漏等），并报医院管理部门备案。</w:t>
      </w:r>
    </w:p>
    <w:p w14:paraId="15235A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zh-CN"/>
        </w:rPr>
        <w:t>六、考核管理</w:t>
      </w:r>
    </w:p>
    <w:p w14:paraId="4E2D70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1.医院主管部门成立物业服务考核小组，按照本文件附件《物业服务工作考核综合表》 对供应商的服务质量进行月度考核，考核采取现场检查、资料核查、随机抽查相结合的方式；</w:t>
      </w:r>
    </w:p>
    <w:p w14:paraId="243079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2.考核总分100分，80分及以上为合格，考核结果作为合同续签、服务费用支付的核心依据；</w:t>
      </w:r>
    </w:p>
    <w:p w14:paraId="44A910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3.月度考核不合格的，供应商需在3个工作日内制定整改方案并完成整改，医院考核小组进行复核；连续2次考核不合格的，医院有权单方面解除物业服务合同，且供应商需承担相应违约责任；</w:t>
      </w:r>
    </w:p>
    <w:p w14:paraId="711EC6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4.供应商需按要求提交工作记录、巡检记录、维修记录等相关资料，配合医院的考核及日常监督检查工作。</w:t>
      </w:r>
    </w:p>
    <w:p w14:paraId="56C578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zh-CN"/>
        </w:rPr>
        <w:t>七、其他要求</w:t>
      </w:r>
    </w:p>
    <w:p w14:paraId="539D3A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1.物业服务过程中，供应商人员需严格遵守医院的各项规章制度，尊重医患人员，文明服务、规范操作，维护医院正常的诊疗和办公秩序；</w:t>
      </w:r>
    </w:p>
    <w:p w14:paraId="2BF4A6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2.供应商需指定1名现场项目负责人，负责与医院管理部门的日常沟通、工作对接、问题整改，确保沟通渠道畅通，接到医院反馈问题后24小时内响应并反馈处理意见；</w:t>
      </w:r>
    </w:p>
    <w:p w14:paraId="0C2000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3.本采购需求未明确的内容，由医院与供应商双方协商确定，签订补充协议，补充协议与物业服务合同具有同等法律效力；</w:t>
      </w:r>
    </w:p>
    <w:p w14:paraId="0503B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zh-CN"/>
        </w:rPr>
        <w:t>4.供应商需承担因自身管理、操作不当造成的医院财产损失、人员伤害及第三方赔偿责任。</w:t>
      </w:r>
    </w:p>
    <w:p w14:paraId="6C0F47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附件：物业服务工作考核综合表</w:t>
      </w:r>
    </w:p>
    <w:p w14:paraId="316ABB76">
      <w:pP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  <w:t>附件：</w:t>
      </w:r>
    </w:p>
    <w:tbl>
      <w:tblPr>
        <w:tblStyle w:val="8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530"/>
        <w:gridCol w:w="1694"/>
        <w:gridCol w:w="510"/>
        <w:gridCol w:w="321"/>
        <w:gridCol w:w="2141"/>
        <w:gridCol w:w="2189"/>
        <w:gridCol w:w="720"/>
      </w:tblGrid>
      <w:tr w14:paraId="5DB0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D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物业服务工作考核综合表</w:t>
            </w:r>
          </w:p>
        </w:tc>
      </w:tr>
      <w:tr w14:paraId="1246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0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考核科室：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考核人员：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时间：    年   月   日                      </w:t>
            </w:r>
          </w:p>
        </w:tc>
      </w:tr>
      <w:tr w14:paraId="4F4B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F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22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2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标准考核内容</w:t>
            </w:r>
          </w:p>
        </w:tc>
        <w:tc>
          <w:tcPr>
            <w:tcW w:w="5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C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246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B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21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现场考核情况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B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4513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2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岗位要求30分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3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服务人员按岗位时间或轮班制度按时到岗，不迟到，不早退。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F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02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在岗位规定考勤时间内迟到一人次扣0.5分/日。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5B98E">
            <w:pPr>
              <w:rPr>
                <w:rFonts w:hint="eastAsia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C01E1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D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6F2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4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Style w:val="11"/>
                <w:lang w:val="en-US" w:eastAsia="zh-CN" w:bidi="ar"/>
              </w:rPr>
              <w:t>服务人员在岗期间工作着装均需整齐和整洁。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3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7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着装不整齐、整洁一人次扣0.5分。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94083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DE4225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0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00E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1D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DejaVuSans" w:hAnsi="DejaVuSans" w:eastAsia="DejaVuSans" w:cs="DejaVuSan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</w:t>
            </w:r>
            <w:r>
              <w:rPr>
                <w:rStyle w:val="11"/>
                <w:lang w:val="en-US" w:eastAsia="zh-CN" w:bidi="ar"/>
              </w:rPr>
              <w:t>务人员严格遵守医院和公司各项规定，认真执行各项操作规程，安全完成工作，并详细记录工作情况，任务完成后立即向使用或管理科室汇报。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1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上岗时不遵守医院和公司岗位规定，不执行操作规程，工作运行记录不规范，一人次扣1分。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C7E4A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66F8C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C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86D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A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4.服务人员遵章守纪，无盗窃等行为。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F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服务人员不遵章守纪，有盗窃等行为，一人次扣2分。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B09ED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DB0D2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0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4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卫生保洁20分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A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1.保洁工作有计划流程，保洁设备、工具、用品、药制齐全。按医院及公司制定的工作流程切实做好保洁工作。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3B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保洁不及时，流程不规范，设施设备不足，一次扣1分。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140CC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0919E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8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5C6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F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2.院区公共区域地面环境卫生保持清洁，地面无积水，无垃圾等现象。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4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6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无垃圾、无积水、无纸屑烟头、无乱堆乱放现象，垃圾桶未及时清洁，发现一次扣1分。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5C3A3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C0239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8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15E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93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3.宣传栏、栏杆、窗框、消防器材等设施干净，无污迹。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1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8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无污迹、无积尘、无蜘蛛网，发现一次扣1分。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2DA72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F8903E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B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B33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1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4.及时处理卫生间、楼道、公共区域因杂物、堵塞造成的排水不畅问题，疏通作业后负责现场清理、保洁、消毒，保持环境整洁无异味。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C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7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未及时处置堵塞问题，一次扣2分；作业后现场未清理 /未消毒，有异味，一次扣3 分。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FD5DB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78CEE2">
            <w:pPr>
              <w:rPr>
                <w:rFonts w:hint="default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8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电力保障50分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1.负责个人安全责任区域的用电安全。每月对安全责任区域进行不低于2次的巡检，并有记录；做到无差错事故，确保安全供电。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F0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未巡检扣3分/次巡查未记录扣2分/次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差错事故扣6分/次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7717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4F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D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577C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2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2.严格按照《配送电操作规范》进行操作作业，协助高压作业电工完成低压配送电操作，确保低压配送电操作安全供电。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C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差错事故扣8分/次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AE8E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F9A3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B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4CE2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70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3.遇突发或计划停电，迅速前往停电区域，须按操作规范和流程处置，保障重点科室供电安全。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D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6E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推诿、拖拉扣4分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未按规范和流程处置8分/次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F2DF8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6DEEF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6302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932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70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接到报修电话，不推诿，不拖拉，及时前往处置。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01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未按时完成维修任务扣2分/次  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077E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1155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3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5E61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1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4.做好济慈医疗部及社区的巡检（每月2次），发现隐患，及时处置，不能处置的及时上报。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4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未巡检扣3分/次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未消除隐患并未上报扣3分/次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61F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0AA9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5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5BFF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3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5.更换的电工维修材料需填写材料出库单，维修项目有记录，账物相符。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2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未填写材料领用单扣2分/次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未进行维修记录扣1分/次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A988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6C8B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E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F64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76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6.不得故意浪费电工维修耗材。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D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8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故意浪费电工维修耗材扣2分/次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4CF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9F22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B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6DF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3E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7.严格执行各种工作记录的签名制度，交班签名不得提前签。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1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未签名、提前签名各扣1分/次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D152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8C1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9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FC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D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8.做好维修室、值班室及各建筑强电井的卫生，保持整洁，维修室不得堆放私人物品及杂物。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DejaVuSans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81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未能保持卫生清洁扣2分/次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19B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B21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F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9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97209A">
            <w:pPr>
              <w:rPr>
                <w:rFonts w:hint="eastAsia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2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1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考核意见及整改要求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AB636">
            <w:pPr>
              <w:rPr>
                <w:rFonts w:hint="eastAsia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A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8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D2E3D">
            <w:pPr>
              <w:rPr>
                <w:rFonts w:hint="eastAsia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4B01D">
            <w:pP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医院考核小组签字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00BFC">
            <w:pPr>
              <w:rPr>
                <w:rFonts w:hint="eastAsia" w:ascii="Calibri" w:hAnsi="Calibri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EC9C8E5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4153"/>
    <w:rsid w:val="15573F32"/>
    <w:rsid w:val="18071EE1"/>
    <w:rsid w:val="1A4D57F9"/>
    <w:rsid w:val="353A1726"/>
    <w:rsid w:val="378155CA"/>
    <w:rsid w:val="4B850E38"/>
    <w:rsid w:val="4DDE4089"/>
    <w:rsid w:val="54D65742"/>
    <w:rsid w:val="5B105373"/>
    <w:rsid w:val="70A20FC3"/>
    <w:rsid w:val="74FB0163"/>
    <w:rsid w:val="77EF4153"/>
    <w:rsid w:val="783670F7"/>
    <w:rsid w:val="78750480"/>
    <w:rsid w:val="7D92325B"/>
    <w:rsid w:val="7E8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19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  <w:style w:type="paragraph" w:styleId="3">
    <w:name w:val="Body Text First Indent"/>
    <w:basedOn w:val="2"/>
    <w:qFormat/>
    <w:uiPriority w:val="0"/>
    <w:pPr>
      <w:ind w:firstLine="420"/>
    </w:pPr>
    <w:rPr>
      <w:rFonts w:ascii="宋体" w:hAnsi="宋体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2166</Words>
  <Characters>2233</Characters>
  <Lines>0</Lines>
  <Paragraphs>0</Paragraphs>
  <TotalTime>24</TotalTime>
  <ScaleCrop>false</ScaleCrop>
  <LinksUpToDate>false</LinksUpToDate>
  <CharactersWithSpaces>2323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2023-02-13T00:38:00Z</dcterms:created>
  <dc:creator>吟丶荧草丶杰</dc:creator>
  <cp:lastModifiedBy>李伦</cp:lastModifiedBy>
  <dcterms:modified xsi:type="dcterms:W3CDTF">2026-03-19T00:36:14Z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9EF3599CA6804B52BAE89EF64D02C469</vt:lpwstr>
  </property>
  <property fmtid="{D5CDD505-2E9C-101B-9397-08002B2CF9AE}" pid="4" name="KSOTemplateDocerSaveRecord">
    <vt:lpwstr>eyJoZGlkIjoiZjg0YTJmNDg4MDIxYTM3MTA5MmJkODIyOTZlMGVhN2EiLCJ1c2VySWQiOiIxNDkwNjMwMjUwIn0=</vt:lpwstr>
  </property>
</Properties>
</file>