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F0722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数字图书馆服务需求</w:t>
      </w:r>
    </w:p>
    <w:p w14:paraId="50A8C66E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一、项目概述</w:t>
      </w:r>
    </w:p>
    <w:p w14:paraId="4AF5340C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为构建支撑临床、科研及教学的现代化知识服务体系，我院拟采购一套数字图书馆服务。本项目旨在通过云服务平台，为全院职工提供不受时间、空间限制的、资源丰富、功能先进、服务可靠的一站式知识获取与学习环境。</w:t>
      </w:r>
    </w:p>
    <w:p w14:paraId="703F601C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二、服务总体要求</w:t>
      </w:r>
    </w:p>
    <w:p w14:paraId="710A2DCE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1.提供基于云服务的数字图书馆整合平台，无需本院提供机房、存储及服务器等硬件设施。</w:t>
      </w:r>
    </w:p>
    <w:p w14:paraId="19A37A95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2.支持通过互联网访问或通过医院官网直接进入，同时须提供功能完备的移动客户端（APP），支持主流iOS与Android操作系统。</w:t>
      </w:r>
    </w:p>
    <w:p w14:paraId="0DB3796E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三、资源内容要求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657"/>
        <w:gridCol w:w="5580"/>
      </w:tblGrid>
      <w:tr w14:paraId="4E69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33FA2E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资源大类</w:t>
            </w:r>
          </w:p>
        </w:tc>
        <w:tc>
          <w:tcPr>
            <w:tcW w:w="1657" w:type="dxa"/>
            <w:vAlign w:val="center"/>
          </w:tcPr>
          <w:p w14:paraId="04F68D3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资源细类</w:t>
            </w:r>
          </w:p>
        </w:tc>
        <w:tc>
          <w:tcPr>
            <w:tcW w:w="5580" w:type="dxa"/>
            <w:vAlign w:val="center"/>
          </w:tcPr>
          <w:p w14:paraId="445BAC6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资源要求</w:t>
            </w:r>
          </w:p>
        </w:tc>
      </w:tr>
      <w:tr w14:paraId="6566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shd w:val="clear" w:color="auto" w:fill="FFFFFF"/>
            <w:vAlign w:val="center"/>
          </w:tcPr>
          <w:p w14:paraId="027CF79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★1.电子图书</w:t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86DD9E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中文图书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607C1E4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平台可检索的中文图书元数据不少于500万种，其中医学类不少于25万种。电子图书支持中图法分类检索，书名、作者、主题词、丛书名等多途径检索，图书可对目次章节进行检索。中文图书须保持原文原貌，具有在线阅读、下载、页码跳转、在线打印等功能；图书须提供专用阅读器，便于读者进行个性化阅读；可实现对可利用的图书进行文字、图片的提取与编缉，并自动标识出处的功能。</w:t>
            </w:r>
          </w:p>
        </w:tc>
      </w:tr>
      <w:tr w14:paraId="0389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shd w:val="clear" w:color="auto" w:fill="FFFFFF"/>
            <w:vAlign w:val="center"/>
          </w:tcPr>
          <w:p w14:paraId="09308E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FFFFFF"/>
            <w:vAlign w:val="center"/>
          </w:tcPr>
          <w:p w14:paraId="4D60505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外文图书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31C7A2B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平台可检索的外文图书元数据不少于200万种。</w:t>
            </w:r>
          </w:p>
        </w:tc>
      </w:tr>
      <w:tr w14:paraId="21F1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shd w:val="clear" w:color="auto" w:fill="FFFFFF"/>
            <w:vAlign w:val="center"/>
          </w:tcPr>
          <w:p w14:paraId="78CC335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▲2.学术期刊</w:t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2BDA7B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中文医学期刊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7E429D4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收录中文医学期刊不少于2000种，元数据总量不少于1500万篇。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须包含“中华医学期刊全文数据库”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，确保其中不少于155种中华系列期刊的全文可实现通过平台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直接阅读、下载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或通过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文献传递在24小时内稳定获取。</w:t>
            </w:r>
          </w:p>
          <w:p w14:paraId="713FD8E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全文内容更新不晚于纸质出版后3个月。</w:t>
            </w:r>
          </w:p>
          <w:p w14:paraId="2D5502E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可实现对本单位发文情况统计、可按照科室、个人进行详细统计。</w:t>
            </w:r>
          </w:p>
        </w:tc>
      </w:tr>
      <w:tr w14:paraId="7D37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shd w:val="clear" w:color="auto" w:fill="FFFFFF"/>
            <w:vAlign w:val="center"/>
          </w:tcPr>
          <w:p w14:paraId="7E9119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FFFFFF"/>
            <w:vAlign w:val="center"/>
          </w:tcPr>
          <w:p w14:paraId="3DD43A9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外文医学期刊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31ADB26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平台可检索的外文医学期刊不少于27000种。提供标题及摘要在线翻译功能，提供全文实时翻译功能、提供JCR分区、中科院分区功能，提供期刊类型标注功能，获取方式包括OA资源、在线下载、邮箱传递等多种方式，成功率不低于95%。</w:t>
            </w:r>
          </w:p>
        </w:tc>
      </w:tr>
      <w:tr w14:paraId="3D4C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shd w:val="clear" w:color="auto" w:fill="FFFFFF"/>
            <w:vAlign w:val="center"/>
          </w:tcPr>
          <w:p w14:paraId="60E8751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★3.学位/会议论文</w:t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D98269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中文学位论文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7904AE7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中文学位论文元数据不少于2000万篇，其中医学类不少于120万篇。</w:t>
            </w:r>
          </w:p>
        </w:tc>
      </w:tr>
      <w:tr w14:paraId="3AF4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shd w:val="clear" w:color="auto" w:fill="FFFFFF"/>
            <w:vAlign w:val="center"/>
          </w:tcPr>
          <w:p w14:paraId="5A16BC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FFFFFF"/>
            <w:vAlign w:val="center"/>
          </w:tcPr>
          <w:p w14:paraId="6CCE37A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医学会议论文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2EDC178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国内生物医药类学术会议论文元数据不少于140万篇。</w:t>
            </w:r>
          </w:p>
        </w:tc>
      </w:tr>
      <w:tr w14:paraId="7F2D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shd w:val="clear" w:color="auto" w:fill="FFFFFF"/>
            <w:vAlign w:val="center"/>
          </w:tcPr>
          <w:p w14:paraId="6C5ECDB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4.多媒体及其他</w:t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24AC9F9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视频资源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0178D48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各学科学术视频不少于10万集。</w:t>
            </w:r>
          </w:p>
        </w:tc>
      </w:tr>
      <w:tr w14:paraId="116B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shd w:val="clear" w:color="auto" w:fill="FFFFFF"/>
            <w:vAlign w:val="center"/>
          </w:tcPr>
          <w:p w14:paraId="53437B7A">
            <w:pPr>
              <w:jc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7" w:type="dxa"/>
            <w:shd w:val="clear" w:color="auto" w:fill="FFFFFF"/>
            <w:vAlign w:val="center"/>
          </w:tcPr>
          <w:p w14:paraId="1671DBA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其他资源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34CE4F5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应覆盖中外文标准、专利、报纸、文档等不少于15种资源类型。</w:t>
            </w:r>
          </w:p>
        </w:tc>
      </w:tr>
    </w:tbl>
    <w:p w14:paraId="005DD3E5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四、平台功能要求</w:t>
      </w:r>
    </w:p>
    <w:p w14:paraId="652D3419">
      <w:pPr>
        <w:ind w:firstLine="640"/>
        <w:jc w:val="left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▲（一）一站式智能检索</w:t>
      </w:r>
    </w:p>
    <w:p w14:paraId="56F1899D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1.提供统一检索框，可同时对图书、期刊、论文、视频、指南等不少于16种资源类型进行跨库检索。</w:t>
      </w:r>
    </w:p>
    <w:p w14:paraId="07F9F23D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2.支持高级检索、二次检索、主题词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（如MeSH）检索、检索历史保存与组合。</w:t>
      </w:r>
    </w:p>
    <w:p w14:paraId="31D25FC7">
      <w:pPr>
        <w:ind w:firstLine="640"/>
        <w:jc w:val="left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▲（二）移动图书馆服务</w:t>
      </w:r>
    </w:p>
    <w:p w14:paraId="0852886F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1.提供移动APP，支持电子书刊的下载、在线阅读、学术直播、学术云盘、笔记、群组交流等功能。</w:t>
      </w:r>
    </w:p>
    <w:p w14:paraId="70C358A4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2.支持“全院共读一本书”等阅读活动，记录阅读时长与排名。</w:t>
      </w:r>
    </w:p>
    <w:p w14:paraId="3D5145AF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3.移动图书馆APP提供移动学术直播功能。</w:t>
      </w:r>
    </w:p>
    <w:p w14:paraId="624D7B5A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4.实现移动端一站式检索，并优先展示可直接获取全文的资源。</w:t>
      </w:r>
    </w:p>
    <w:p w14:paraId="30B15CD1">
      <w:pPr>
        <w:ind w:firstLine="640"/>
        <w:jc w:val="left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★（三）AI馆员与知识服务</w:t>
      </w:r>
    </w:p>
    <w:p w14:paraId="408A53B2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1.提供智能问答机器人，支持构建院内知识库（上传制度、文档等并智能问答）。</w:t>
      </w:r>
    </w:p>
    <w:p w14:paraId="357FBEB2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2.支持基于自然语言处理的文献智能推荐、机器阅读（生成摘要、脑图、试题等）。</w:t>
      </w:r>
    </w:p>
    <w:p w14:paraId="184EEA3F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3.AI提供的答案和推荐文献，须可追溯原文，并优先关联可直接获取全文的资源。</w:t>
      </w:r>
    </w:p>
    <w:p w14:paraId="6EC6B808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支持自定义单位logo、名称；支持建立院内知识库的功能，医院可以自行上传院内制度文档、规则等，创建院内知识库，通过AI馆员来回复，解答院内职工对医院制度、要求等的提问，提交效率。</w:t>
      </w:r>
    </w:p>
    <w:p w14:paraId="07780782">
      <w:pPr>
        <w:ind w:firstLine="640"/>
        <w:jc w:val="left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（四）智慧门户网站</w:t>
      </w:r>
    </w:p>
    <w:p w14:paraId="6AFD467D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1.同一平台管理功能：可将数字图书馆、移动图书馆、学科服务、学术群组、学术专题、学习笔记、直播服务、共读等服务通过统一微服务平台进行集中管理。</w:t>
      </w:r>
    </w:p>
    <w:p w14:paraId="5BAC2BAF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2.支持网站自定义一种或多种登录方式，包含手机号登录密码登录、手机号验证码登录、账号密码登录、第三方统一认证登录等方式。</w:t>
      </w:r>
    </w:p>
    <w:p w14:paraId="5F036C6C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3.本地添加内容自定义编辑器包含但不限于富文本编辑器，支持图片、视频、附件、超链接等上传；提供包含专题和课程的资源库，用于图文列表、多图列表、文本列表、图标列表、轮播图类模块数据的添加。</w:t>
      </w:r>
    </w:p>
    <w:p w14:paraId="3578F1FC">
      <w:pPr>
        <w:ind w:firstLine="640"/>
        <w:jc w:val="left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（五）个性化服务</w:t>
      </w:r>
    </w:p>
    <w:p w14:paraId="7F763925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1.学科服务：按照科室类别为临床定制中文文献检索式，可在门户端、移动图书馆客户端实现学科文献推送，自动更新数据。</w:t>
      </w:r>
    </w:p>
    <w:p w14:paraId="7CDD61E1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2.提供定制订阅（关键词、期刊、学者等）、文献互助、专题创建、笔记共享等功能。</w:t>
      </w:r>
    </w:p>
    <w:p w14:paraId="24A07410">
      <w:pPr>
        <w:ind w:firstLine="64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五、售后服务</w:t>
      </w:r>
    </w:p>
    <w:p w14:paraId="42B98DE1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提供7×24小时在线客服与专属VIP服务群。</w:t>
      </w:r>
    </w:p>
    <w:p w14:paraId="3DF1DD1B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问题响应时间不超过2小时，重大故障需在工作日24小时内抵达现场解决。</w:t>
      </w:r>
    </w:p>
    <w:p w14:paraId="74893C84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每年提供不少于4次的全院性使用培训。</w:t>
      </w:r>
    </w:p>
    <w:p w14:paraId="5140C0E3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提供专人定期回访与免费软件升级服务。</w:t>
      </w:r>
    </w:p>
    <w:p w14:paraId="4F7C0C78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★标注条款为实质性要求，若不满足将视为无效投标。</w:t>
      </w:r>
    </w:p>
    <w:p w14:paraId="2A5DFD00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▲标注条款为重要技术参数，将在评标中赋予较高权重，并需在评审时进行在线演示验证。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74122"/>
    <w:rsid w:val="76532AAD"/>
    <w:rsid w:val="7E4A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1626</Words>
  <Characters>1705</Characters>
  <Lines>0</Lines>
  <Paragraphs>0</Paragraphs>
  <TotalTime>5</TotalTime>
  <ScaleCrop>false</ScaleCrop>
  <LinksUpToDate>false</LinksUpToDate>
  <CharactersWithSpaces>1706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2025-11-04T05:11:00Z</dcterms:created>
  <dc:creator>ZGSYY</dc:creator>
  <cp:lastModifiedBy>潇湘夜雨</cp:lastModifiedBy>
  <dcterms:modified xsi:type="dcterms:W3CDTF">2026-01-21T08:06:38Z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eyJoZGlkIjoiZDY3YmFlMDRiZDRhMDZlNDI2NzU2YmZiNThlZWZlYjMiLCJ1c2VySWQiOiI1NDk4NjQ3MzcifQ==</vt:lpwstr>
  </property>
  <property fmtid="{D5CDD505-2E9C-101B-9397-08002B2CF9AE}" pid="4" name="ICV">
    <vt:lpwstr>4AA40BEBD5544D778848147192F9B508_13</vt:lpwstr>
  </property>
</Properties>
</file>