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276BB">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265"/>
        <w:gridCol w:w="1591"/>
        <w:gridCol w:w="3013"/>
        <w:gridCol w:w="20"/>
      </w:tblGrid>
      <w:tr w14:paraId="6F43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629" w:type="dxa"/>
          </w:tcPr>
          <w:p w14:paraId="0C8AE456">
            <w:pPr>
              <w:pStyle w:val="4"/>
              <w:widowControl w:val="0"/>
              <w:ind w:left="0" w:leftChars="0" w:firstLine="0" w:firstLineChars="0"/>
              <w:rPr>
                <w:rFonts w:hint="eastAsia"/>
                <w:vertAlign w:val="baseline"/>
                <w:lang w:val="en-US" w:eastAsia="zh-CN"/>
              </w:rPr>
            </w:pPr>
            <w:r>
              <w:rPr>
                <w:rFonts w:hint="eastAsia"/>
                <w:vertAlign w:val="baseline"/>
                <w:lang w:val="en-US" w:eastAsia="zh-CN"/>
              </w:rPr>
              <w:t>科      室</w:t>
            </w:r>
          </w:p>
        </w:tc>
        <w:tc>
          <w:tcPr>
            <w:tcW w:w="2265" w:type="dxa"/>
          </w:tcPr>
          <w:p w14:paraId="0938393B">
            <w:pPr>
              <w:pStyle w:val="4"/>
              <w:widowControl w:val="0"/>
              <w:ind w:left="0" w:leftChars="0" w:firstLine="560" w:firstLineChars="200"/>
              <w:jc w:val="left"/>
              <w:rPr>
                <w:rFonts w:hint="default"/>
                <w:b w:val="0"/>
                <w:bCs w:val="0"/>
                <w:vertAlign w:val="baseline"/>
                <w:lang w:val="en-US" w:eastAsia="zh-CN"/>
              </w:rPr>
            </w:pPr>
            <w:r>
              <w:rPr>
                <w:rFonts w:hint="eastAsia"/>
                <w:b w:val="0"/>
                <w:bCs w:val="0"/>
                <w:vertAlign w:val="baseline"/>
                <w:lang w:val="en-US" w:eastAsia="zh-CN"/>
              </w:rPr>
              <w:t>检验科</w:t>
            </w:r>
          </w:p>
        </w:tc>
        <w:tc>
          <w:tcPr>
            <w:tcW w:w="1591" w:type="dxa"/>
          </w:tcPr>
          <w:p w14:paraId="6177A8B1">
            <w:pPr>
              <w:pStyle w:val="4"/>
              <w:widowControl w:val="0"/>
              <w:ind w:left="0" w:leftChars="0" w:firstLine="0" w:firstLineChars="0"/>
              <w:rPr>
                <w:rFonts w:hint="eastAsia"/>
                <w:vertAlign w:val="baseline"/>
                <w:lang w:val="en-US" w:eastAsia="zh-CN"/>
              </w:rPr>
            </w:pPr>
            <w:r>
              <w:rPr>
                <w:rFonts w:hint="eastAsia"/>
                <w:vertAlign w:val="baseline"/>
                <w:lang w:val="en-US" w:eastAsia="zh-CN"/>
              </w:rPr>
              <w:t>设备名称</w:t>
            </w:r>
          </w:p>
        </w:tc>
        <w:tc>
          <w:tcPr>
            <w:tcW w:w="3033" w:type="dxa"/>
            <w:gridSpan w:val="2"/>
          </w:tcPr>
          <w:p w14:paraId="42E56AF5">
            <w:pPr>
              <w:pStyle w:val="4"/>
              <w:widowControl w:val="0"/>
              <w:rPr>
                <w:rFonts w:hint="default"/>
                <w:vertAlign w:val="baseline"/>
                <w:lang w:val="en-US" w:eastAsia="zh-CN"/>
              </w:rPr>
            </w:pPr>
            <w:r>
              <w:rPr>
                <w:rFonts w:hint="eastAsia"/>
                <w:vertAlign w:val="baseline"/>
                <w:lang w:val="en-US" w:eastAsia="zh-CN"/>
              </w:rPr>
              <w:t>结核分枝杆菌及耐药基因快速检测分析仪</w:t>
            </w:r>
          </w:p>
        </w:tc>
      </w:tr>
      <w:tr w14:paraId="66CD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9" w:type="dxa"/>
          </w:tcPr>
          <w:p w14:paraId="6EB781A5">
            <w:pPr>
              <w:pStyle w:val="4"/>
              <w:widowControl w:val="0"/>
              <w:ind w:left="0" w:leftChars="0" w:firstLine="0" w:firstLineChars="0"/>
              <w:rPr>
                <w:rFonts w:hint="eastAsia"/>
                <w:vertAlign w:val="baseline"/>
                <w:lang w:val="en-US" w:eastAsia="zh-CN"/>
              </w:rPr>
            </w:pPr>
            <w:r>
              <w:rPr>
                <w:rFonts w:hint="eastAsia"/>
                <w:vertAlign w:val="baseline"/>
                <w:lang w:val="en-US" w:eastAsia="zh-CN"/>
              </w:rPr>
              <w:t>拟采购数量</w:t>
            </w:r>
          </w:p>
        </w:tc>
        <w:tc>
          <w:tcPr>
            <w:tcW w:w="2265" w:type="dxa"/>
          </w:tcPr>
          <w:p w14:paraId="44CE7EC5">
            <w:pPr>
              <w:pStyle w:val="4"/>
              <w:widowControl w:val="0"/>
              <w:ind w:left="0" w:leftChars="0" w:firstLine="0" w:firstLineChars="0"/>
              <w:rPr>
                <w:rFonts w:hint="default"/>
                <w:b w:val="0"/>
                <w:bCs w:val="0"/>
                <w:vertAlign w:val="baseline"/>
                <w:lang w:val="en-US" w:eastAsia="zh-CN"/>
              </w:rPr>
            </w:pPr>
            <w:r>
              <w:rPr>
                <w:rFonts w:hint="eastAsia"/>
                <w:b w:val="0"/>
                <w:bCs w:val="0"/>
                <w:vertAlign w:val="baseline"/>
                <w:lang w:val="en-US" w:eastAsia="zh-CN"/>
              </w:rPr>
              <w:t>1</w:t>
            </w:r>
          </w:p>
        </w:tc>
        <w:tc>
          <w:tcPr>
            <w:tcW w:w="1591" w:type="dxa"/>
          </w:tcPr>
          <w:p w14:paraId="3514319B">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参数用途</w:t>
            </w:r>
          </w:p>
        </w:tc>
        <w:tc>
          <w:tcPr>
            <w:tcW w:w="3033" w:type="dxa"/>
            <w:gridSpan w:val="2"/>
          </w:tcPr>
          <w:p w14:paraId="76EF6CA6">
            <w:pPr>
              <w:pStyle w:val="4"/>
              <w:widowControl w:val="0"/>
              <w:rPr>
                <w:rFonts w:hint="default"/>
                <w:vertAlign w:val="baseline"/>
                <w:lang w:val="en-US" w:eastAsia="zh-CN"/>
              </w:rPr>
            </w:pPr>
            <w:r>
              <w:rPr>
                <w:rFonts w:hint="eastAsia"/>
                <w:vertAlign w:val="baseline"/>
                <w:lang w:val="en-US" w:eastAsia="zh-CN"/>
              </w:rPr>
              <w:t>市场调研</w:t>
            </w:r>
          </w:p>
        </w:tc>
      </w:tr>
      <w:tr w14:paraId="73AB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518" w:type="dxa"/>
            <w:gridSpan w:val="5"/>
          </w:tcPr>
          <w:p w14:paraId="41DEBFE7">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1.检测原理：基于实时荧光PCR技术</w:t>
            </w:r>
          </w:p>
          <w:p w14:paraId="3E1A5F29">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2.主要用途：从痰液等样本中直接进行结核分枝杆菌鉴定及利福平耐药的相关检测，同时检测结核分枝杆菌鉴定和利福耐药基因</w:t>
            </w:r>
          </w:p>
          <w:p w14:paraId="15E7400F">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3.检测通量：支持可同时检测≥8个结核及利福平耐药样本(一体机、非矩阵级联)</w:t>
            </w:r>
          </w:p>
          <w:p w14:paraId="7C6067FF">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4.核酸提取：离心柱或磁珠法提取</w:t>
            </w:r>
          </w:p>
          <w:p w14:paraId="420D0CE6">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5.无人干预设计:支持液化后标本加入检测管后无需人工干预即可完成核酸提取、检测，</w:t>
            </w:r>
          </w:p>
          <w:p w14:paraId="39E7E4DE">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 xml:space="preserve">无需配液。 </w:t>
            </w:r>
          </w:p>
          <w:p w14:paraId="12CD9944">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6.配套试剂检测靶标：IS6110、IS1081、rpoB基因，实现耐药基因检测</w:t>
            </w:r>
          </w:p>
          <w:p w14:paraId="1DB8E853">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7.荧光通道数：≥4色荧光通道</w:t>
            </w:r>
          </w:p>
          <w:p w14:paraId="2EE65089">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8.每个模块具备探针法开展呼吸道24重检测，可以开展急性呼吸道传染病监测试点工作监测</w:t>
            </w:r>
          </w:p>
          <w:p w14:paraId="627C8621">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9.同时具备开展虫媒传染病检测能力（提供产品说明书、产品样品）</w:t>
            </w:r>
          </w:p>
          <w:p w14:paraId="6909CDC7">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10.检测模式:采用封闭式检测流程，上样后的检测流程在独立的全封闭试剂空间内完成，实现样本进-结果出的无接触检测。</w:t>
            </w:r>
          </w:p>
          <w:p w14:paraId="1F5C8904">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11.结果分析及报告:根据检测项目，软件支持对实验数据自动分析，具备结果自动判读功能，能够自动输出检测靶标阴性/阳性、药物敏感/耐药等结果，并可导出检测报告</w:t>
            </w:r>
          </w:p>
          <w:p w14:paraId="52215C9C">
            <w:pPr>
              <w:pStyle w:val="2"/>
              <w:widowControl w:val="0"/>
              <w:numPr>
                <w:ilvl w:val="0"/>
                <w:numId w:val="0"/>
              </w:numPr>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12.检测时间:结核分枝杆菌鉴定及利福平耐药检测时间≤120min</w:t>
            </w:r>
          </w:p>
          <w:p w14:paraId="01749CD7">
            <w:pPr>
              <w:pStyle w:val="2"/>
              <w:widowControl w:val="0"/>
              <w:ind w:left="0" w:leftChars="0" w:firstLine="0" w:firstLineChars="0"/>
              <w:rPr>
                <w:rFonts w:hint="default" w:ascii="仿宋" w:hAnsi="仿宋" w:eastAsia="仿宋" w:cs="仿宋"/>
                <w:b w:val="0"/>
                <w:bCs/>
                <w:color w:val="auto"/>
                <w:spacing w:val="20"/>
                <w:sz w:val="24"/>
                <w:szCs w:val="32"/>
                <w:lang w:val="en-US" w:eastAsia="zh-CN"/>
              </w:rPr>
            </w:pPr>
            <w:bookmarkStart w:id="0" w:name="_GoBack"/>
            <w:bookmarkEnd w:id="0"/>
            <w:r>
              <w:rPr>
                <w:rFonts w:hint="eastAsia" w:ascii="Calibri" w:hAnsi="Calibri" w:eastAsia="宋体" w:cs="Times New Roman"/>
                <w:color w:val="auto"/>
                <w:kern w:val="2"/>
                <w:sz w:val="21"/>
                <w:szCs w:val="21"/>
                <w:lang w:val="en-US" w:eastAsia="zh-CN" w:bidi="ar-SA"/>
              </w:rPr>
              <w:t>13.质量控制：双重质控，系统包含内部质控和外部质控，耐药基因检测限≤1000个菌/ml。</w:t>
            </w:r>
          </w:p>
        </w:tc>
      </w:tr>
      <w:tr w14:paraId="56C9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50" w:hRule="atLeast"/>
        </w:trPr>
        <w:tc>
          <w:tcPr>
            <w:tcW w:w="8498" w:type="dxa"/>
            <w:gridSpan w:val="4"/>
          </w:tcPr>
          <w:p w14:paraId="1B5D14C4">
            <w:pPr>
              <w:widowControl w:val="0"/>
              <w:tabs>
                <w:tab w:val="left" w:pos="1551"/>
              </w:tabs>
              <w:bidi w:val="0"/>
              <w:ind w:left="0" w:leftChars="0" w:firstLine="0" w:firstLineChars="0"/>
              <w:jc w:val="left"/>
              <w:rPr>
                <w:rFonts w:hint="eastAsia"/>
                <w:lang w:val="en-US" w:eastAsia="zh-CN"/>
              </w:rPr>
            </w:pPr>
          </w:p>
        </w:tc>
      </w:tr>
    </w:tbl>
    <w:p w14:paraId="1DE004CF">
      <w:pPr>
        <w:pStyle w:val="4"/>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EA0BE5"/>
    <w:rsid w:val="02227DC5"/>
    <w:rsid w:val="02F6215F"/>
    <w:rsid w:val="03D56A80"/>
    <w:rsid w:val="05632F87"/>
    <w:rsid w:val="0A630A62"/>
    <w:rsid w:val="0F716AF4"/>
    <w:rsid w:val="103E1F42"/>
    <w:rsid w:val="176B4BCE"/>
    <w:rsid w:val="184C3F44"/>
    <w:rsid w:val="354E552E"/>
    <w:rsid w:val="35B83D3D"/>
    <w:rsid w:val="362E4123"/>
    <w:rsid w:val="3AB33AFD"/>
    <w:rsid w:val="3D59692B"/>
    <w:rsid w:val="401261ED"/>
    <w:rsid w:val="41B533F7"/>
    <w:rsid w:val="44303FF3"/>
    <w:rsid w:val="4E360C07"/>
    <w:rsid w:val="5333119C"/>
    <w:rsid w:val="55F13291"/>
    <w:rsid w:val="56F86FFF"/>
    <w:rsid w:val="65E37FAB"/>
    <w:rsid w:val="68583E1D"/>
    <w:rsid w:val="6FD24A19"/>
    <w:rsid w:val="74736F2F"/>
    <w:rsid w:val="759D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3">
    <w:name w:val="heading 1"/>
    <w:basedOn w:val="1"/>
    <w:next w:val="1"/>
    <w:link w:val="9"/>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8">
    <w:name w:val="Default Paragraph Font"/>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szCs w:val="24"/>
    </w:rPr>
  </w:style>
  <w:style w:type="paragraph" w:styleId="4">
    <w:name w:val="Body Text"/>
    <w:basedOn w:val="1"/>
    <w:qFormat/>
    <w:uiPriority w:val="0"/>
    <w:pPr>
      <w:spacing w:after="120" w:afterLines="0" w:afterAutospacing="0"/>
    </w:pPr>
  </w:style>
  <w:style w:type="paragraph" w:styleId="5">
    <w:name w:val="Normal (Web)"/>
    <w:basedOn w:val="1"/>
    <w:qFormat/>
    <w:uiPriority w:val="99"/>
    <w:pPr>
      <w:widowControl/>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1"/>
    <w:basedOn w:val="8"/>
    <w:link w:val="3"/>
    <w:qFormat/>
    <w:locked/>
    <w:uiPriority w:val="99"/>
    <w:rPr>
      <w:rFonts w:ascii="Calibri" w:hAnsi="Calibri" w:eastAsia="方正小标宋简体" w:cs="Times New Roman"/>
      <w:bCs/>
      <w:kern w:val="44"/>
      <w:sz w:val="44"/>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565</Characters>
  <Lines>0</Lines>
  <Paragraphs>0</Paragraphs>
  <TotalTime>1</TotalTime>
  <ScaleCrop>false</ScaleCrop>
  <LinksUpToDate>false</LinksUpToDate>
  <CharactersWithSpaces>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李绯</cp:lastModifiedBy>
  <dcterms:modified xsi:type="dcterms:W3CDTF">2026-01-04T02:45:57Z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B33F9DE0C87F41408FD24DA705D1067D</vt:lpwstr>
  </property>
  <property fmtid="{D5CDD505-2E9C-101B-9397-08002B2CF9AE}" pid="4" name="KSOTemplateDocerSaveRecord">
    <vt:lpwstr>eyJoZGlkIjoiYzJmM2FjNDg2OTBmY2Y3NzVjZWQ4ZjIxZWE1NDg5NTQiLCJ1c2VySWQiOiIxNjkzMzE1MTQ0In0=</vt:lpwstr>
  </property>
</Properties>
</file>