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2A7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次氯酸钠采购需求及参数</w:t>
      </w:r>
    </w:p>
    <w:p w14:paraId="7AE5817F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、技术参数要求​</w:t>
      </w:r>
    </w:p>
    <w:p w14:paraId="7E3F1E18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（一）核心指标​</w:t>
      </w:r>
    </w:p>
    <w:p w14:paraId="2C7A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有效氯含量：≥10%（以 Cl 计，按 GB/T 19106-2013《次氯酸钠溶液》标准检测，检测结果需提供第三方权威机构报告）​​</w:t>
      </w:r>
    </w:p>
    <w:p w14:paraId="4F80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外观：淡黄色透明液体，无明显悬浮物、沉淀物及异味（如有异常，采购方有权拒收）​</w:t>
      </w:r>
    </w:p>
    <w:p w14:paraId="70F0D657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（二）存储与运输要求​</w:t>
      </w:r>
    </w:p>
    <w:p w14:paraId="306C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包装材质：采用耐腐蚀性聚乙烯塑料桶（或符合国家标准的钢塑复合桶），桶身标注“腐蚀性物品”“次氯酸钠溶液”“有效氯含量” 等标识，密封性能良好，无泄漏风险。</w:t>
      </w:r>
    </w:p>
    <w:p w14:paraId="6EE1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输要求：供应商需具备危险品运输资质，运输车辆需配备防泄漏、防腐蚀应急设备（如吸附棉、中和剂等），运输过程中需避免阳光直射、高温暴晒及剧烈碰撞，运输路线需提前与采购方沟通确认，确保符合医院园区交通管理规定。</w:t>
      </w:r>
    </w:p>
    <w:p w14:paraId="1013555B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、质量标准与验收要求​</w:t>
      </w:r>
    </w:p>
    <w:p w14:paraId="61E4D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质量标准：产品需符合《次氯酸钠溶液》（GB/T 19106-2013）、《医疗机构水污染物排放标准》（GB 18466-2005）及医院污水处理消毒相关技术规范，每批次产品需随货提供出厂检验报告（包含有效氯含量、游离碱含量、重金属含量等关键指标检测结果）。​</w:t>
      </w:r>
    </w:p>
    <w:p w14:paraId="7684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保质期要求：产品保质期自生产日期起不低于6个月，到货时剩余保质期不得少于4个月，否则采购方有权拒收。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、其他要求​</w:t>
      </w:r>
    </w:p>
    <w:p w14:paraId="1763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供应商资质：供应商需提供营业执照（经营范围包含次氯酸钠生产或销售）、危险品生产/经营许可证、危险品运输许可证、第三方检测机构出具的年度产品质量检测报告等资质文件，且资质在有效期内。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F5286"/>
    <w:rsid w:val="22FC48A8"/>
    <w:rsid w:val="262304B5"/>
    <w:rsid w:val="275D2415"/>
    <w:rsid w:val="315E7501"/>
    <w:rsid w:val="328C6BD8"/>
    <w:rsid w:val="3CB1196F"/>
    <w:rsid w:val="41212E0E"/>
    <w:rsid w:val="43A14BBC"/>
    <w:rsid w:val="45413001"/>
    <w:rsid w:val="55C946DC"/>
    <w:rsid w:val="56904167"/>
    <w:rsid w:val="57DC307E"/>
    <w:rsid w:val="58CF5286"/>
    <w:rsid w:val="59224936"/>
    <w:rsid w:val="699C5CBB"/>
    <w:rsid w:val="6E1842A1"/>
    <w:rsid w:val="700A0D1E"/>
    <w:rsid w:val="749C2B30"/>
    <w:rsid w:val="758B1C20"/>
    <w:rsid w:val="7E6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仿宋_GB2312" w:cstheme="minorBidi"/>
      <w:bCs/>
      <w:kern w:val="44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三医院标题1"/>
    <w:basedOn w:val="1"/>
    <w:next w:val="1"/>
    <w:qFormat/>
    <w:uiPriority w:val="0"/>
    <w:pPr>
      <w:snapToGrid w:val="0"/>
      <w:spacing w:line="240" w:lineRule="auto"/>
    </w:pPr>
    <w:rPr>
      <w:rFonts w:eastAsia="黑体"/>
    </w:rPr>
  </w:style>
  <w:style w:type="paragraph" w:customStyle="1" w:styleId="7">
    <w:name w:val="三医院标题2"/>
    <w:basedOn w:val="1"/>
    <w:next w:val="3"/>
    <w:qFormat/>
    <w:uiPriority w:val="0"/>
    <w:pPr>
      <w:spacing w:line="336" w:lineRule="auto"/>
    </w:pPr>
    <w:rPr>
      <w:rFonts w:eastAsia="楷体"/>
    </w:rPr>
  </w:style>
  <w:style w:type="paragraph" w:customStyle="1" w:styleId="8">
    <w:name w:val="三医院标题三"/>
    <w:basedOn w:val="1"/>
    <w:next w:val="3"/>
    <w:qFormat/>
    <w:uiPriority w:val="0"/>
    <w:pPr>
      <w:spacing w:line="336" w:lineRule="auto"/>
    </w:pPr>
    <w:rPr>
      <w:rFonts w:ascii="仿宋_GB2312" w:hAnsi="仿宋_GB2312" w:eastAsia="仿宋_GB2312"/>
    </w:rPr>
  </w:style>
  <w:style w:type="paragraph" w:customStyle="1" w:styleId="9">
    <w:name w:val="三医院正文"/>
    <w:basedOn w:val="1"/>
    <w:qFormat/>
    <w:uiPriority w:val="0"/>
    <w:pPr>
      <w:spacing w:line="336" w:lineRule="auto"/>
      <w:ind w:firstLine="640" w:firstLineChars="200"/>
    </w:pPr>
    <w:rPr>
      <w:rFonts w:ascii="仿宋_GB2312" w:hAns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2025-10-10T09:20:00Z</dcterms:created>
  <dc:creator>王国祥</dc:creator>
  <cp:lastModifiedBy>王国祥</cp:lastModifiedBy>
  <dcterms:modified xsi:type="dcterms:W3CDTF">2025-10-10T09:26:59Z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5FDCF7FF9F8F4A39B9BEBE0C88D3F44F_11</vt:lpwstr>
  </property>
  <property fmtid="{D5CDD505-2E9C-101B-9397-08002B2CF9AE}" pid="4" name="KSOTemplateDocerSaveRecord">
    <vt:lpwstr>eyJoZGlkIjoiYzgzOTE5MDU3NTFiOWI4MTk3ZTZjOTg0NmIyNDEyYzMiLCJ1c2VySWQiOiIxNjU2ODM1OTI0In0=</vt:lpwstr>
  </property>
</Properties>
</file>