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肾病内科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心功能无创检测分析仪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CEE97C8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基本技术参数：</w:t>
            </w:r>
          </w:p>
          <w:p w14:paraId="32F95018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胸抗组测量：</w:t>
            </w: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输入阻抗≥140kΩ，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基础抗组测量精度</w:t>
            </w: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±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8%，恒流源频率</w:t>
            </w: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40KHz；</w:t>
            </w:r>
          </w:p>
          <w:p w14:paraId="74664C58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auto"/>
                <w:spacing w:val="20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心电测量：放大器增益</w:t>
            </w: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≥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1000倍左右；心率测量范围30-1</w:t>
            </w: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bpm</w:t>
            </w:r>
            <w:r>
              <w:rPr>
                <w:rFonts w:hint="default" w:ascii="Calibri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，误差±2bpm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0329E5BF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/>
                <w:snapToGrid w:val="0"/>
                <w:color w:val="auto"/>
                <w:spacing w:val="2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Calibri" w:hAnsi="Arial" w:eastAsia="宋体" w:cs="Times New Roman"/>
                <w:b w:val="0"/>
                <w:bCs w:val="0"/>
                <w:i w:val="0"/>
                <w:iCs w:val="0"/>
                <w:snapToGrid w:val="0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功能指标:在同一窗口分别显示 ICG dZ/dt、ECG、 等多种曲线及≥12个血流动力学及心功能评价参数；监测参数区域，可以根据监测方式显示 ECG 指标、ICG 指标等，全面评价心功能指标；</w:t>
            </w:r>
          </w:p>
          <w:p w14:paraId="66105F69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.检测数据信号回放区域可以同时显示胸阻抗变化波形，胸阻抗变化微分波形，心电信号波形</w:t>
            </w: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； </w:t>
            </w:r>
          </w:p>
          <w:p w14:paraId="331709FD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在分析功能下，可监测</w:t>
            </w:r>
            <w:r>
              <w:rPr>
                <w:rFonts w:hint="default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≥30</w:t>
            </w:r>
            <w:r>
              <w:rPr>
                <w:rFonts w:hint="eastAsia" w:ascii="Calibri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项血流动力学参数变化、心功能指标、心电图指标，心音分析指标等；可按患者</w:t>
            </w:r>
            <w:r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住院号、就诊号、姓名等查询及管理功能，</w:t>
            </w:r>
            <w:r>
              <w:rPr>
                <w:rFonts w:hint="default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出具</w:t>
            </w:r>
            <w:r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多种组合方式的监测报告</w:t>
            </w:r>
            <w:r>
              <w:rPr>
                <w:rFonts w:hint="default" w:ascii="Calibri" w:hAnsi="Arial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602FED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rPr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心功能指标:心电图指标包括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R、PWidth、T Width、QRS WidthRR Interval PR Interval； </w:t>
            </w:r>
          </w:p>
          <w:p w14:paraId="61BE3696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心功能指标:心脏储备指标包括S1/S2 D/S S1 width S2 width</w:t>
            </w:r>
          </w:p>
          <w:p w14:paraId="657039FD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8</w:t>
            </w:r>
            <w:r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.检测参数包括心功能指标、心脏泵功能指标、心脏收缩功能指标、心脏负荷功能等。</w:t>
            </w:r>
          </w:p>
          <w:p w14:paraId="7EE30D2F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9.</w:t>
            </w:r>
            <w:r>
              <w:rPr>
                <w:rFonts w:hint="eastAsia" w:ascii="Calibri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需</w:t>
            </w:r>
            <w:r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配备台车</w:t>
            </w:r>
            <w:r>
              <w:rPr>
                <w:rFonts w:hint="eastAsia" w:ascii="Calibri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或一体机</w:t>
            </w:r>
            <w:r>
              <w:rPr>
                <w:rFonts w:hint="eastAsia" w:ascii="Calibri" w:hAnsi="Arial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eastAsia" w:ascii="Calibri" w:eastAsia="宋体" w:cs="Times New Roman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  <w:t>配置打印机可直接打印报告。</w:t>
            </w:r>
          </w:p>
          <w:p w14:paraId="01749CD7">
            <w:pPr>
              <w:pStyle w:val="8"/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0.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专用无创血流动力学监测设备</w:t>
            </w:r>
            <w:r>
              <w:rPr>
                <w:rFonts w:hint="eastAsia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506B1"/>
    <w:rsid w:val="08BA4CE8"/>
    <w:rsid w:val="46A0037B"/>
    <w:rsid w:val="66F75096"/>
    <w:rsid w:val="7510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qFormat/>
    <w:uiPriority w:val="99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567</Characters>
  <Paragraphs>32</Paragraphs>
  <TotalTime>3</TotalTime>
  <ScaleCrop>false</ScaleCrop>
  <LinksUpToDate>false</LinksUpToDate>
  <CharactersWithSpaces>627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2025-07-31T07:17:34Z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0ef3d75bbfb94792a7735c58ea239386_23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