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A4B67">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265"/>
        <w:gridCol w:w="1591"/>
        <w:gridCol w:w="3033"/>
      </w:tblGrid>
      <w:tr w14:paraId="7A6B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29" w:type="dxa"/>
          </w:tcPr>
          <w:p w14:paraId="3F99418C">
            <w:pPr>
              <w:pStyle w:val="4"/>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14:paraId="0FD5E955">
            <w:pPr>
              <w:pStyle w:val="4"/>
              <w:widowControl w:val="0"/>
              <w:ind w:left="0" w:leftChars="0" w:firstLine="0" w:firstLineChars="0"/>
              <w:jc w:val="left"/>
              <w:rPr>
                <w:rFonts w:hint="default"/>
                <w:b w:val="0"/>
                <w:bCs w:val="0"/>
                <w:vertAlign w:val="baseline"/>
                <w:lang w:val="en-US" w:eastAsia="zh-CN"/>
              </w:rPr>
            </w:pPr>
            <w:r>
              <w:rPr>
                <w:rFonts w:hint="eastAsia"/>
                <w:b w:val="0"/>
                <w:bCs w:val="0"/>
                <w:vertAlign w:val="baseline"/>
                <w:lang w:val="en-US" w:eastAsia="zh-CN"/>
              </w:rPr>
              <w:t>检验科</w:t>
            </w:r>
          </w:p>
        </w:tc>
        <w:tc>
          <w:tcPr>
            <w:tcW w:w="1591" w:type="dxa"/>
          </w:tcPr>
          <w:p w14:paraId="5125862D">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设备名称</w:t>
            </w:r>
          </w:p>
        </w:tc>
        <w:tc>
          <w:tcPr>
            <w:tcW w:w="3033" w:type="dxa"/>
          </w:tcPr>
          <w:p w14:paraId="3842CCD6">
            <w:pPr>
              <w:widowControl w:val="0"/>
              <w:ind w:left="0" w:leftChars="0" w:firstLine="0" w:firstLineChars="0"/>
              <w:jc w:val="center"/>
              <w:rPr>
                <w:rFonts w:hint="default" w:eastAsia="仿宋_GB2312"/>
                <w:vertAlign w:val="baseline"/>
                <w:lang w:val="en-US" w:eastAsia="zh-CN"/>
              </w:rPr>
            </w:pPr>
            <w:bookmarkStart w:id="2" w:name="_GoBack"/>
            <w:r>
              <w:rPr>
                <w:rFonts w:hint="eastAsia"/>
                <w:b w:val="0"/>
                <w:bCs/>
                <w:sz w:val="28"/>
                <w:szCs w:val="28"/>
                <w:lang w:val="en-US" w:eastAsia="zh-CN"/>
              </w:rPr>
              <w:t>微生物质谱分析仪</w:t>
            </w:r>
            <w:bookmarkEnd w:id="2"/>
          </w:p>
        </w:tc>
      </w:tr>
      <w:tr w14:paraId="10CE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9" w:type="dxa"/>
          </w:tcPr>
          <w:p w14:paraId="73773A76">
            <w:pPr>
              <w:pStyle w:val="4"/>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14:paraId="7CDD28E2">
            <w:pPr>
              <w:pStyle w:val="4"/>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14:paraId="6DDBA565">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033" w:type="dxa"/>
          </w:tcPr>
          <w:p w14:paraId="5ABD012A">
            <w:pPr>
              <w:pStyle w:val="4"/>
              <w:widowControl w:val="0"/>
              <w:rPr>
                <w:rFonts w:hint="default"/>
                <w:vertAlign w:val="baseline"/>
                <w:lang w:val="en-US" w:eastAsia="zh-CN"/>
              </w:rPr>
            </w:pPr>
            <w:r>
              <w:rPr>
                <w:rFonts w:hint="eastAsia"/>
                <w:vertAlign w:val="baseline"/>
                <w:lang w:val="en-US" w:eastAsia="zh-CN"/>
              </w:rPr>
              <w:t>市场调研</w:t>
            </w:r>
          </w:p>
        </w:tc>
      </w:tr>
      <w:tr w14:paraId="5F04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atLeast"/>
        </w:trPr>
        <w:tc>
          <w:tcPr>
            <w:tcW w:w="8518" w:type="dxa"/>
            <w:gridSpan w:val="4"/>
          </w:tcPr>
          <w:p w14:paraId="51AC88C3">
            <w:pPr>
              <w:widowControl w:val="0"/>
              <w:ind w:left="0" w:leftChars="0" w:firstLine="281" w:firstLineChars="100"/>
              <w:jc w:val="both"/>
              <w:textAlignment w:val="baseline"/>
              <w:rPr>
                <w:rFonts w:hint="eastAsia"/>
                <w:b/>
                <w:sz w:val="28"/>
                <w:szCs w:val="28"/>
              </w:rPr>
            </w:pPr>
            <w:r>
              <w:rPr>
                <w:rFonts w:hint="eastAsia"/>
                <w:b/>
                <w:sz w:val="28"/>
                <w:szCs w:val="28"/>
                <w:lang w:val="en-US" w:eastAsia="zh-CN"/>
              </w:rPr>
              <w:t>一</w:t>
            </w:r>
            <w:r>
              <w:rPr>
                <w:rFonts w:hint="eastAsia"/>
                <w:b/>
                <w:sz w:val="28"/>
                <w:szCs w:val="28"/>
              </w:rPr>
              <w:t>、设备技术要求</w:t>
            </w:r>
          </w:p>
          <w:p w14:paraId="36A69A67">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1.资质及使用期限</w:t>
            </w:r>
          </w:p>
          <w:p w14:paraId="581DA2E9">
            <w:pPr>
              <w:widowControl w:val="0"/>
              <w:jc w:val="both"/>
              <w:textAlignment w:val="baseline"/>
              <w:rPr>
                <w:rFonts w:hint="eastAsia" w:ascii="宋体" w:hAnsi="宋体" w:eastAsia="宋体"/>
                <w:sz w:val="24"/>
                <w:szCs w:val="24"/>
                <w:lang w:eastAsia="zh-CN"/>
              </w:rPr>
            </w:pPr>
            <w:r>
              <w:rPr>
                <w:rFonts w:hint="eastAsia" w:ascii="宋体" w:hAnsi="宋体" w:eastAsia="宋体"/>
                <w:sz w:val="24"/>
                <w:szCs w:val="24"/>
              </w:rPr>
              <w:t>1.1仪器检测速度：一次可检测≥96个样本，所需时间≤10min，</w:t>
            </w:r>
            <w:r>
              <w:rPr>
                <w:rFonts w:hint="eastAsia" w:ascii="宋体" w:hAnsi="宋体" w:eastAsia="宋体"/>
                <w:sz w:val="24"/>
                <w:szCs w:val="24"/>
                <w:lang w:val="en-US" w:eastAsia="zh-CN"/>
              </w:rPr>
              <w:t>能</w:t>
            </w:r>
            <w:r>
              <w:rPr>
                <w:rFonts w:hint="eastAsia" w:ascii="宋体" w:hAnsi="宋体" w:eastAsia="宋体"/>
                <w:sz w:val="24"/>
                <w:szCs w:val="24"/>
              </w:rPr>
              <w:t>提供省市级权威机构检测报告</w:t>
            </w:r>
            <w:r>
              <w:rPr>
                <w:rFonts w:hint="eastAsia" w:ascii="宋体" w:hAnsi="宋体" w:eastAsia="宋体"/>
                <w:sz w:val="24"/>
                <w:szCs w:val="24"/>
                <w:lang w:eastAsia="zh-CN"/>
              </w:rPr>
              <w:t>。</w:t>
            </w:r>
          </w:p>
          <w:p w14:paraId="3296EADF">
            <w:pPr>
              <w:widowControl w:val="0"/>
              <w:jc w:val="both"/>
              <w:textAlignment w:val="baseline"/>
              <w:rPr>
                <w:rFonts w:hint="default" w:ascii="宋体" w:hAnsi="宋体" w:eastAsia="宋体"/>
                <w:color w:val="FF0000"/>
                <w:sz w:val="24"/>
                <w:szCs w:val="24"/>
              </w:rPr>
            </w:pPr>
            <w:r>
              <w:rPr>
                <w:rFonts w:hint="eastAsia" w:ascii="宋体" w:hAnsi="宋体" w:eastAsia="宋体"/>
                <w:color w:val="000000" w:themeColor="text1"/>
                <w:sz w:val="24"/>
                <w:szCs w:val="24"/>
                <w14:textFill>
                  <w14:solidFill>
                    <w14:schemeClr w14:val="tx1"/>
                  </w14:solidFill>
                </w14:textFill>
              </w:rPr>
              <w:t xml:space="preserve">1.2 </w:t>
            </w:r>
            <w:bookmarkStart w:id="0" w:name="OLE_LINK2"/>
            <w:r>
              <w:rPr>
                <w:rFonts w:hint="eastAsia" w:ascii="宋体" w:hAnsi="宋体" w:eastAsia="宋体"/>
                <w:color w:val="000000" w:themeColor="text1"/>
                <w:sz w:val="24"/>
                <w:szCs w:val="24"/>
                <w14:textFill>
                  <w14:solidFill>
                    <w14:schemeClr w14:val="tx1"/>
                  </w14:solidFill>
                </w14:textFill>
              </w:rPr>
              <w:t>使用期限≥</w:t>
            </w:r>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年。</w:t>
            </w:r>
            <w:bookmarkEnd w:id="0"/>
          </w:p>
          <w:p w14:paraId="2B98E949">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2.工作环境：</w:t>
            </w:r>
          </w:p>
          <w:p w14:paraId="02B02056">
            <w:pPr>
              <w:widowControl w:val="0"/>
              <w:jc w:val="both"/>
              <w:textAlignment w:val="baseline"/>
              <w:rPr>
                <w:rFonts w:hint="eastAsia" w:ascii="宋体" w:hAnsi="宋体" w:eastAsia="宋体"/>
                <w:sz w:val="24"/>
                <w:szCs w:val="24"/>
              </w:rPr>
            </w:pPr>
            <w:r>
              <w:rPr>
                <w:rFonts w:hint="eastAsia" w:ascii="宋体" w:hAnsi="宋体" w:eastAsia="宋体"/>
                <w:sz w:val="24"/>
                <w:szCs w:val="24"/>
              </w:rPr>
              <w:t>电力要求：AC 220V±22V，50Hz±1Hz、相对湿度：30%-70%</w:t>
            </w:r>
          </w:p>
          <w:p w14:paraId="77371586">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3.硬件指标：</w:t>
            </w:r>
          </w:p>
          <w:p w14:paraId="66653F3A">
            <w:pPr>
              <w:widowControl w:val="0"/>
              <w:jc w:val="both"/>
              <w:textAlignment w:val="baseline"/>
              <w:rPr>
                <w:rFonts w:hint="default" w:ascii="宋体" w:hAnsi="宋体" w:eastAsia="宋体"/>
                <w:sz w:val="24"/>
                <w:szCs w:val="24"/>
              </w:rPr>
            </w:pPr>
            <w:r>
              <w:rPr>
                <w:rFonts w:hint="eastAsia" w:ascii="宋体" w:hAnsi="宋体" w:eastAsia="宋体"/>
                <w:sz w:val="24"/>
                <w:szCs w:val="24"/>
              </w:rPr>
              <w:t>3.1激光器：在1-60Hz范围内任意连续可调。</w:t>
            </w:r>
          </w:p>
          <w:p w14:paraId="3FB6684F">
            <w:pPr>
              <w:widowControl w:val="0"/>
              <w:jc w:val="both"/>
              <w:textAlignment w:val="baseline"/>
              <w:rPr>
                <w:rFonts w:hint="eastAsia" w:ascii="宋体" w:hAnsi="宋体" w:eastAsia="宋体"/>
                <w:sz w:val="24"/>
                <w:szCs w:val="24"/>
              </w:rPr>
            </w:pPr>
            <w:r>
              <w:rPr>
                <w:rFonts w:hint="eastAsia" w:ascii="宋体" w:hAnsi="宋体" w:eastAsia="宋体"/>
                <w:sz w:val="24"/>
                <w:szCs w:val="24"/>
              </w:rPr>
              <w:t>3.2</w:t>
            </w:r>
            <w:r>
              <w:rPr>
                <w:rFonts w:hint="eastAsia" w:ascii="宋体" w:hAnsi="宋体" w:eastAsia="宋体"/>
                <w:color w:val="000000" w:themeColor="text1"/>
                <w:sz w:val="24"/>
                <w:szCs w:val="24"/>
                <w14:textFill>
                  <w14:solidFill>
                    <w14:schemeClr w14:val="tx1"/>
                  </w14:solidFill>
                </w14:textFill>
              </w:rPr>
              <w:t>激光发射次数≥</w:t>
            </w:r>
            <w:r>
              <w:rPr>
                <w:rFonts w:hint="eastAsia" w:ascii="宋体" w:hAnsi="宋体" w:eastAsia="宋体"/>
                <w:color w:val="000000" w:themeColor="text1"/>
                <w:sz w:val="24"/>
                <w:szCs w:val="24"/>
                <w:highlight w:val="yellow"/>
                <w:lang w:val="en-US" w:eastAsia="zh-CN"/>
                <w14:textFill>
                  <w14:solidFill>
                    <w14:schemeClr w14:val="tx1"/>
                  </w14:solidFill>
                </w14:textFill>
              </w:rPr>
              <w:t>4</w:t>
            </w:r>
            <w:r>
              <w:rPr>
                <w:rFonts w:hint="eastAsia" w:ascii="宋体" w:hAnsi="宋体" w:eastAsia="宋体"/>
                <w:color w:val="000000" w:themeColor="text1"/>
                <w:sz w:val="24"/>
                <w:szCs w:val="24"/>
                <w:highlight w:val="yellow"/>
                <w14:textFill>
                  <w14:solidFill>
                    <w14:schemeClr w14:val="tx1"/>
                  </w14:solidFill>
                </w14:textFill>
              </w:rPr>
              <w:t>x10</w:t>
            </w:r>
            <w:r>
              <w:rPr>
                <w:rFonts w:hint="eastAsia" w:ascii="宋体" w:hAnsi="宋体" w:eastAsia="宋体"/>
                <w:color w:val="000000" w:themeColor="text1"/>
                <w:sz w:val="24"/>
                <w:szCs w:val="24"/>
                <w:highlight w:val="yellow"/>
                <w:vertAlign w:val="superscript"/>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，可检测更多的样本</w:t>
            </w:r>
            <w:r>
              <w:rPr>
                <w:rFonts w:hint="eastAsia" w:ascii="宋体" w:hAnsi="宋体" w:eastAsia="宋体"/>
                <w:sz w:val="24"/>
                <w:szCs w:val="24"/>
              </w:rPr>
              <w:t>。</w:t>
            </w:r>
          </w:p>
          <w:p w14:paraId="2EFD10EF">
            <w:pPr>
              <w:widowControl w:val="0"/>
              <w:jc w:val="both"/>
              <w:textAlignment w:val="baseline"/>
              <w:rPr>
                <w:rFonts w:hint="eastAsia" w:ascii="宋体" w:hAnsi="宋体" w:eastAsia="宋体"/>
                <w:sz w:val="24"/>
                <w:szCs w:val="24"/>
                <w:lang w:val="en-US" w:eastAsia="zh-CN"/>
              </w:rPr>
            </w:pPr>
            <w:r>
              <w:rPr>
                <w:rFonts w:hint="eastAsia" w:ascii="宋体" w:hAnsi="宋体" w:eastAsia="宋体"/>
                <w:sz w:val="24"/>
                <w:szCs w:val="24"/>
              </w:rPr>
              <w:t>3.3离子源：离子源无需清洗，方便日常维护。</w:t>
            </w:r>
            <w:r>
              <w:rPr>
                <w:rFonts w:hint="eastAsia" w:ascii="宋体" w:hAnsi="宋体" w:eastAsia="宋体"/>
                <w:sz w:val="24"/>
                <w:szCs w:val="24"/>
                <w:lang w:val="en-US" w:eastAsia="zh-CN"/>
              </w:rPr>
              <w:t xml:space="preserve"> </w:t>
            </w:r>
          </w:p>
          <w:p w14:paraId="4CEB1368">
            <w:pPr>
              <w:widowControl w:val="0"/>
              <w:jc w:val="both"/>
              <w:textAlignment w:val="baseline"/>
              <w:rPr>
                <w:rFonts w:hint="eastAsia" w:ascii="宋体" w:hAnsi="宋体" w:eastAsia="宋体"/>
                <w:sz w:val="24"/>
                <w:szCs w:val="24"/>
              </w:rPr>
            </w:pPr>
            <w:r>
              <w:rPr>
                <w:rFonts w:hint="eastAsia" w:ascii="宋体" w:hAnsi="宋体" w:eastAsia="宋体"/>
                <w:sz w:val="24"/>
                <w:szCs w:val="24"/>
              </w:rPr>
              <w:t>3.4飞行管：</w:t>
            </w:r>
            <w:r>
              <w:rPr>
                <w:rFonts w:hint="eastAsia" w:ascii="宋体" w:hAnsi="宋体" w:eastAsia="宋体"/>
                <w:sz w:val="24"/>
                <w:szCs w:val="24"/>
                <w:highlight w:val="yellow"/>
              </w:rPr>
              <w:t>飞行长度≥</w:t>
            </w:r>
            <w:r>
              <w:rPr>
                <w:rFonts w:hint="eastAsia" w:ascii="宋体" w:hAnsi="宋体" w:eastAsia="宋体"/>
                <w:sz w:val="24"/>
                <w:szCs w:val="24"/>
                <w:highlight w:val="yellow"/>
                <w:lang w:val="en-US" w:eastAsia="zh-CN"/>
              </w:rPr>
              <w:t>1</w:t>
            </w:r>
            <w:r>
              <w:rPr>
                <w:rFonts w:hint="eastAsia" w:ascii="宋体" w:hAnsi="宋体" w:eastAsia="宋体"/>
                <w:sz w:val="24"/>
                <w:szCs w:val="24"/>
                <w:highlight w:val="yellow"/>
              </w:rPr>
              <w:t>米</w:t>
            </w:r>
            <w:r>
              <w:rPr>
                <w:rFonts w:hint="eastAsia" w:ascii="宋体" w:hAnsi="宋体" w:eastAsia="宋体"/>
                <w:sz w:val="24"/>
                <w:szCs w:val="24"/>
                <w:highlight w:val="yellow"/>
                <w:lang w:eastAsia="zh-CN"/>
              </w:rPr>
              <w:t>，</w:t>
            </w:r>
            <w:r>
              <w:rPr>
                <w:rFonts w:hint="eastAsia" w:ascii="宋体" w:hAnsi="宋体" w:eastAsia="宋体"/>
                <w:sz w:val="24"/>
                <w:szCs w:val="24"/>
                <w:highlight w:val="yellow"/>
                <w:lang w:val="en-US" w:eastAsia="zh-Hans"/>
              </w:rPr>
              <w:t>具备温度补偿技术</w:t>
            </w:r>
            <w:r>
              <w:rPr>
                <w:rFonts w:hint="eastAsia" w:ascii="宋体" w:hAnsi="宋体" w:eastAsia="宋体"/>
                <w:sz w:val="24"/>
                <w:szCs w:val="24"/>
              </w:rPr>
              <w:t>。</w:t>
            </w:r>
          </w:p>
          <w:p w14:paraId="2C54A29A">
            <w:pPr>
              <w:widowControl w:val="0"/>
              <w:jc w:val="both"/>
              <w:textAlignment w:val="baseline"/>
              <w:rPr>
                <w:rFonts w:hint="default" w:ascii="宋体" w:hAnsi="宋体" w:eastAsia="宋体"/>
                <w:sz w:val="24"/>
                <w:szCs w:val="24"/>
              </w:rPr>
            </w:pPr>
            <w:r>
              <w:rPr>
                <w:rFonts w:hint="eastAsia" w:ascii="宋体" w:hAnsi="宋体" w:eastAsia="宋体"/>
                <w:sz w:val="24"/>
                <w:szCs w:val="24"/>
              </w:rPr>
              <w:t>3.5检测范围：分子量范围</w:t>
            </w:r>
            <w:r>
              <w:rPr>
                <w:rFonts w:hint="eastAsia" w:ascii="宋体" w:hAnsi="宋体" w:eastAsia="宋体"/>
                <w:sz w:val="24"/>
                <w:szCs w:val="24"/>
                <w:highlight w:val="yellow"/>
              </w:rPr>
              <w:t>1-</w:t>
            </w:r>
            <w:r>
              <w:rPr>
                <w:rFonts w:hint="eastAsia" w:ascii="宋体" w:hAnsi="宋体" w:eastAsia="宋体"/>
                <w:sz w:val="24"/>
                <w:szCs w:val="24"/>
                <w:highlight w:val="yellow"/>
                <w:lang w:val="en-US" w:eastAsia="zh-CN"/>
              </w:rPr>
              <w:t>5</w:t>
            </w:r>
            <w:r>
              <w:rPr>
                <w:rFonts w:hint="eastAsia" w:ascii="宋体" w:hAnsi="宋体" w:eastAsia="宋体"/>
                <w:sz w:val="24"/>
                <w:szCs w:val="24"/>
                <w:highlight w:val="yellow"/>
              </w:rPr>
              <w:t>00kDa，提供有效证明材料，并加盖设备制造商公章</w:t>
            </w:r>
            <w:r>
              <w:rPr>
                <w:rFonts w:hint="eastAsia" w:ascii="宋体" w:hAnsi="宋体" w:eastAsia="宋体"/>
                <w:sz w:val="24"/>
                <w:szCs w:val="24"/>
              </w:rPr>
              <w:t>。</w:t>
            </w:r>
          </w:p>
          <w:p w14:paraId="2BB022D7">
            <w:pPr>
              <w:widowControl w:val="0"/>
              <w:jc w:val="both"/>
              <w:textAlignment w:val="baseline"/>
              <w:rPr>
                <w:rFonts w:hint="eastAsia" w:ascii="宋体" w:hAnsi="宋体" w:eastAsia="宋体"/>
                <w:sz w:val="24"/>
                <w:szCs w:val="24"/>
                <w:lang w:val="zh-TW"/>
              </w:rPr>
            </w:pPr>
            <w:r>
              <w:rPr>
                <w:rFonts w:hint="eastAsia" w:ascii="宋体" w:hAnsi="宋体" w:eastAsia="宋体"/>
                <w:sz w:val="24"/>
                <w:szCs w:val="24"/>
              </w:rPr>
              <w:t>3.6 真空系统：采用内置</w:t>
            </w:r>
            <w:r>
              <w:rPr>
                <w:rFonts w:hint="eastAsia" w:ascii="宋体" w:hAnsi="宋体" w:eastAsia="宋体"/>
                <w:sz w:val="24"/>
                <w:szCs w:val="24"/>
                <w:highlight w:val="yellow"/>
              </w:rPr>
              <w:t>无油隔膜泵和高通量涡</w:t>
            </w:r>
            <w:r>
              <w:rPr>
                <w:rFonts w:hint="eastAsia" w:ascii="宋体" w:hAnsi="宋体" w:eastAsia="宋体"/>
                <w:sz w:val="24"/>
                <w:szCs w:val="24"/>
              </w:rPr>
              <w:t>轮分子泵双泵系统，真空抽速快，无需等待，进靶即可采样。</w:t>
            </w:r>
          </w:p>
          <w:p w14:paraId="5EFCD9DC">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sz w:val="24"/>
                <w:szCs w:val="24"/>
              </w:rPr>
            </w:pPr>
            <w:r>
              <w:rPr>
                <w:rFonts w:hint="eastAsia" w:ascii="宋体" w:hAnsi="宋体" w:eastAsia="宋体"/>
                <w:sz w:val="24"/>
                <w:szCs w:val="24"/>
              </w:rPr>
              <w:t>3.7检测器：集成式高灵敏度超快响应的微通道板检测器，离子接收面积大、工作电压调节范围广。</w:t>
            </w:r>
          </w:p>
          <w:p w14:paraId="5D3727C8">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hint="default" w:ascii="宋体" w:hAnsi="宋体" w:eastAsia="宋体"/>
                <w:sz w:val="24"/>
                <w:szCs w:val="24"/>
                <w:highlight w:val="yellow"/>
              </w:rPr>
            </w:pPr>
            <w:r>
              <w:rPr>
                <w:rFonts w:hint="eastAsia" w:ascii="宋体" w:hAnsi="宋体" w:eastAsia="宋体"/>
                <w:sz w:val="24"/>
                <w:szCs w:val="24"/>
                <w:lang w:val="en-US" w:eastAsia="zh-CN"/>
              </w:rPr>
              <w:t xml:space="preserve">3.8 </w:t>
            </w:r>
            <w:r>
              <w:rPr>
                <w:rFonts w:hint="default" w:ascii="宋体" w:hAnsi="宋体" w:eastAsia="宋体"/>
                <w:sz w:val="24"/>
                <w:szCs w:val="24"/>
                <w:highlight w:val="yellow"/>
              </w:rPr>
              <w:t>质谱分析仪</w:t>
            </w:r>
            <w:r>
              <w:rPr>
                <w:rFonts w:hint="eastAsia" w:ascii="宋体" w:hAnsi="宋体" w:eastAsia="宋体"/>
                <w:sz w:val="24"/>
                <w:szCs w:val="24"/>
                <w:highlight w:val="yellow"/>
                <w:lang w:val="en-US" w:eastAsia="zh-CN"/>
              </w:rPr>
              <w:t>：</w:t>
            </w:r>
            <w:r>
              <w:rPr>
                <w:rFonts w:hint="default" w:ascii="宋体" w:hAnsi="宋体" w:eastAsia="宋体"/>
                <w:sz w:val="24"/>
                <w:szCs w:val="24"/>
                <w:highlight w:val="yellow"/>
              </w:rPr>
              <w:t>质量准确度</w:t>
            </w:r>
            <w:r>
              <w:rPr>
                <w:rFonts w:hint="eastAsia" w:ascii="宋体" w:hAnsi="宋体" w:eastAsia="宋体"/>
                <w:sz w:val="24"/>
                <w:szCs w:val="24"/>
                <w:highlight w:val="yellow"/>
                <w:lang w:val="en-US" w:eastAsia="zh-CN"/>
              </w:rPr>
              <w:t>要求小于</w:t>
            </w:r>
            <w:r>
              <w:rPr>
                <w:rFonts w:hint="default" w:ascii="宋体" w:hAnsi="宋体" w:eastAsia="宋体"/>
                <w:sz w:val="24"/>
                <w:szCs w:val="24"/>
                <w:highlight w:val="yellow"/>
              </w:rPr>
              <w:t>60ppm（内校</w:t>
            </w:r>
            <w:r>
              <w:rPr>
                <w:rFonts w:hint="eastAsia" w:ascii="宋体" w:hAnsi="宋体" w:eastAsia="宋体"/>
                <w:sz w:val="24"/>
                <w:szCs w:val="24"/>
                <w:highlight w:val="yellow"/>
                <w:lang w:val="en-US" w:eastAsia="zh-CN"/>
              </w:rPr>
              <w:t>误差</w:t>
            </w:r>
            <w:r>
              <w:rPr>
                <w:rFonts w:hint="default" w:ascii="宋体" w:hAnsi="宋体" w:eastAsia="宋体"/>
                <w:sz w:val="24"/>
                <w:szCs w:val="24"/>
                <w:highlight w:val="yellow"/>
              </w:rPr>
              <w:t>）</w:t>
            </w:r>
            <w:r>
              <w:rPr>
                <w:rFonts w:hint="eastAsia" w:ascii="宋体" w:hAnsi="宋体" w:eastAsia="宋体"/>
                <w:sz w:val="24"/>
                <w:szCs w:val="24"/>
                <w:highlight w:val="yellow"/>
                <w:lang w:eastAsia="zh-CN"/>
              </w:rPr>
              <w:t>、</w:t>
            </w:r>
            <w:r>
              <w:rPr>
                <w:rFonts w:hint="eastAsia" w:ascii="宋体" w:hAnsi="宋体" w:eastAsia="宋体"/>
                <w:sz w:val="24"/>
                <w:szCs w:val="24"/>
                <w:highlight w:val="yellow"/>
                <w:lang w:val="en-US" w:eastAsia="zh-CN"/>
              </w:rPr>
              <w:t>小于</w:t>
            </w:r>
            <w:r>
              <w:rPr>
                <w:rFonts w:hint="default" w:ascii="宋体" w:hAnsi="宋体" w:eastAsia="宋体"/>
                <w:sz w:val="24"/>
                <w:szCs w:val="24"/>
                <w:highlight w:val="yellow"/>
              </w:rPr>
              <w:t>100ppm（外校</w:t>
            </w:r>
            <w:r>
              <w:rPr>
                <w:rFonts w:hint="eastAsia" w:ascii="宋体" w:hAnsi="宋体" w:eastAsia="宋体"/>
                <w:sz w:val="24"/>
                <w:szCs w:val="24"/>
                <w:highlight w:val="yellow"/>
                <w:lang w:val="en-US" w:eastAsia="zh-CN"/>
              </w:rPr>
              <w:t>误差</w:t>
            </w:r>
            <w:r>
              <w:rPr>
                <w:rFonts w:hint="default" w:ascii="宋体" w:hAnsi="宋体" w:eastAsia="宋体"/>
                <w:sz w:val="24"/>
                <w:szCs w:val="24"/>
                <w:highlight w:val="yellow"/>
              </w:rPr>
              <w:t>）</w:t>
            </w:r>
            <w:r>
              <w:rPr>
                <w:rFonts w:hint="eastAsia" w:ascii="宋体" w:hAnsi="宋体" w:eastAsia="宋体"/>
                <w:sz w:val="24"/>
                <w:szCs w:val="24"/>
                <w:highlight w:val="yellow"/>
                <w:lang w:eastAsia="zh-CN"/>
              </w:rPr>
              <w:t>；</w:t>
            </w:r>
            <w:r>
              <w:rPr>
                <w:rFonts w:hint="default" w:ascii="宋体" w:hAnsi="宋体" w:eastAsia="宋体"/>
                <w:sz w:val="24"/>
                <w:szCs w:val="24"/>
                <w:highlight w:val="yellow"/>
              </w:rPr>
              <w:t>质量重复性</w:t>
            </w:r>
            <w:r>
              <w:rPr>
                <w:rFonts w:hint="eastAsia" w:ascii="宋体" w:hAnsi="宋体" w:eastAsia="宋体"/>
                <w:sz w:val="24"/>
                <w:szCs w:val="24"/>
                <w:highlight w:val="yellow"/>
                <w:lang w:val="en-US" w:eastAsia="zh-CN"/>
              </w:rPr>
              <w:t>要求</w:t>
            </w:r>
            <w:r>
              <w:rPr>
                <w:rFonts w:hint="default" w:ascii="宋体" w:hAnsi="宋体" w:eastAsia="宋体"/>
                <w:sz w:val="24"/>
                <w:szCs w:val="24"/>
                <w:highlight w:val="yellow"/>
              </w:rPr>
              <w:t>变异系数&lt;0.015%</w:t>
            </w:r>
            <w:r>
              <w:rPr>
                <w:rFonts w:hint="eastAsia" w:ascii="宋体" w:hAnsi="宋体" w:eastAsia="宋体"/>
                <w:sz w:val="24"/>
                <w:szCs w:val="24"/>
                <w:highlight w:val="yellow"/>
                <w:lang w:eastAsia="zh-CN"/>
              </w:rPr>
              <w:t>，</w:t>
            </w:r>
            <w:r>
              <w:rPr>
                <w:rFonts w:hint="default" w:ascii="宋体" w:hAnsi="宋体" w:eastAsia="宋体"/>
                <w:sz w:val="24"/>
                <w:szCs w:val="24"/>
                <w:highlight w:val="yellow"/>
              </w:rPr>
              <w:t xml:space="preserve">提供有效证明材料，并加盖设备制造商公章。 </w:t>
            </w:r>
          </w:p>
          <w:p w14:paraId="086C9F1C">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4. 软件指标：</w:t>
            </w:r>
          </w:p>
          <w:p w14:paraId="6E8BA23E">
            <w:pPr>
              <w:widowControl w:val="0"/>
              <w:jc w:val="both"/>
              <w:textAlignment w:val="baseline"/>
              <w:rPr>
                <w:rFonts w:hint="default" w:ascii="宋体" w:hAnsi="宋体" w:eastAsia="宋体"/>
                <w:sz w:val="24"/>
                <w:szCs w:val="24"/>
              </w:rPr>
            </w:pPr>
            <w:r>
              <w:rPr>
                <w:rFonts w:hint="eastAsia" w:ascii="宋体" w:hAnsi="宋体" w:eastAsia="宋体"/>
                <w:sz w:val="24"/>
                <w:szCs w:val="24"/>
              </w:rPr>
              <w:t>4.1 软件具备仪器控制、数据采集、数据处理及微生物鉴定分析的全套功能。</w:t>
            </w:r>
          </w:p>
          <w:p w14:paraId="418A0D3D">
            <w:pPr>
              <w:widowControl w:val="0"/>
              <w:jc w:val="both"/>
              <w:textAlignment w:val="baseline"/>
              <w:rPr>
                <w:rFonts w:hint="eastAsia" w:ascii="宋体" w:hAnsi="宋体" w:eastAsia="宋体"/>
                <w:sz w:val="24"/>
                <w:szCs w:val="24"/>
              </w:rPr>
            </w:pPr>
            <w:r>
              <w:rPr>
                <w:rFonts w:hint="eastAsia" w:ascii="宋体" w:hAnsi="宋体" w:eastAsia="宋体"/>
                <w:sz w:val="24"/>
                <w:szCs w:val="24"/>
              </w:rPr>
              <w:t>4.2 自动化数据采集，图谱实时刷新，可根据样品信号强度和分辨率自动调整激光能量、采集位置和采集次数来自动获得高质量蛋白质量指纹图谱。</w:t>
            </w:r>
          </w:p>
          <w:p w14:paraId="637FAFD8">
            <w:pPr>
              <w:widowControl w:val="0"/>
              <w:textAlignment w:val="baseline"/>
              <w:rPr>
                <w:rFonts w:hint="eastAsia" w:ascii="宋体" w:hAnsi="宋体" w:eastAsia="宋体"/>
                <w:sz w:val="24"/>
                <w:szCs w:val="24"/>
              </w:rPr>
            </w:pPr>
            <w:r>
              <w:rPr>
                <w:rFonts w:hint="eastAsia" w:ascii="宋体" w:hAnsi="宋体" w:eastAsia="宋体"/>
                <w:sz w:val="24"/>
                <w:szCs w:val="24"/>
              </w:rPr>
              <w:t>4.3软件具备数据处理与统计功能，主成分分析功能，可以为用户更好的总结数据提供强有力的工具支持；支持用户自建库。</w:t>
            </w:r>
          </w:p>
          <w:p w14:paraId="66E183BE">
            <w:pPr>
              <w:widowControl w:val="0"/>
              <w:textAlignment w:val="baseline"/>
              <w:rPr>
                <w:rFonts w:hint="eastAsia" w:ascii="宋体" w:hAnsi="宋体" w:eastAsia="宋体"/>
                <w:sz w:val="24"/>
                <w:szCs w:val="24"/>
              </w:rPr>
            </w:pPr>
            <w:r>
              <w:rPr>
                <w:rFonts w:hint="eastAsia" w:ascii="宋体" w:hAnsi="宋体" w:eastAsia="宋体"/>
                <w:sz w:val="24"/>
                <w:szCs w:val="24"/>
              </w:rPr>
              <w:t>4.4软件有混合菌的提示功能，遗传聚类分析功能，可直接生成微生物样品的遗传聚类图，能确认微生物亲缘关系；</w:t>
            </w:r>
          </w:p>
          <w:p w14:paraId="62D9D291">
            <w:pPr>
              <w:widowControl w:val="0"/>
              <w:textAlignment w:val="baseline"/>
              <w:rPr>
                <w:rFonts w:hint="eastAsia" w:ascii="宋体" w:hAnsi="宋体" w:eastAsia="宋体"/>
                <w:sz w:val="24"/>
                <w:szCs w:val="24"/>
              </w:rPr>
            </w:pPr>
            <w:r>
              <w:rPr>
                <w:rFonts w:hint="eastAsia" w:ascii="宋体" w:hAnsi="宋体" w:eastAsia="宋体"/>
                <w:sz w:val="24"/>
                <w:szCs w:val="24"/>
              </w:rPr>
              <w:t>4.5软件能有效追踪追踪新发菌株的来源且可以鉴定特定区域内微生物种群的变化；</w:t>
            </w:r>
          </w:p>
          <w:p w14:paraId="15477DD7">
            <w:pPr>
              <w:widowControl w:val="0"/>
              <w:textAlignment w:val="baseline"/>
              <w:rPr>
                <w:rFonts w:hint="default" w:ascii="宋体" w:hAnsi="宋体" w:eastAsia="宋体"/>
                <w:sz w:val="24"/>
                <w:szCs w:val="24"/>
                <w:lang w:val="en-US" w:eastAsia="zh-CN"/>
              </w:rPr>
            </w:pPr>
            <w:r>
              <w:rPr>
                <w:rFonts w:hint="eastAsia" w:ascii="宋体" w:hAnsi="宋体" w:eastAsia="宋体" w:cs="宋体"/>
                <w:sz w:val="24"/>
                <w:szCs w:val="24"/>
                <w:lang w:val="en-US" w:eastAsia="zh-CN"/>
              </w:rPr>
              <w:t>4.6</w:t>
            </w:r>
            <w:r>
              <w:rPr>
                <w:rFonts w:hint="eastAsia" w:ascii="宋体" w:hAnsi="宋体" w:eastAsia="宋体"/>
                <w:sz w:val="24"/>
                <w:szCs w:val="24"/>
              </w:rPr>
              <w:t>鉴定结果评分采用双打分评分体系，鉴定结果更准确。</w:t>
            </w:r>
            <w:r>
              <w:rPr>
                <w:rFonts w:hint="eastAsia" w:ascii="宋体" w:hAnsi="宋体" w:eastAsia="宋体"/>
                <w:sz w:val="24"/>
                <w:szCs w:val="24"/>
                <w:lang w:eastAsia="zh-CN"/>
              </w:rPr>
              <w:t>（</w:t>
            </w:r>
            <w:r>
              <w:rPr>
                <w:rFonts w:hint="eastAsia" w:ascii="宋体" w:hAnsi="宋体" w:eastAsia="宋体"/>
                <w:sz w:val="24"/>
                <w:szCs w:val="24"/>
                <w:lang w:val="en-US" w:eastAsia="zh-CN"/>
              </w:rPr>
              <w:t>提供证明文件）</w:t>
            </w:r>
          </w:p>
          <w:p w14:paraId="76C1851E">
            <w:pPr>
              <w:widowControl w:val="0"/>
              <w:textAlignment w:val="baseline"/>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7</w:t>
            </w:r>
            <w:r>
              <w:rPr>
                <w:rFonts w:hint="eastAsia" w:ascii="宋体" w:hAnsi="宋体" w:eastAsia="宋体"/>
                <w:sz w:val="24"/>
                <w:szCs w:val="24"/>
              </w:rPr>
              <w:t>软件可选择中、英文界面，鉴定结果可选择中文。</w:t>
            </w:r>
          </w:p>
          <w:p w14:paraId="7C13BEEE">
            <w:pPr>
              <w:widowControl w:val="0"/>
              <w:textAlignment w:val="baseline"/>
              <w:rPr>
                <w:rFonts w:hint="default" w:ascii="宋体" w:hAnsi="宋体" w:eastAsia="宋体"/>
                <w:sz w:val="24"/>
                <w:lang w:val="en-US" w:eastAsia="zh-CN"/>
              </w:rPr>
            </w:pPr>
            <w:r>
              <w:rPr>
                <w:rFonts w:hint="eastAsia" w:ascii="宋体" w:hAnsi="宋体" w:eastAsia="宋体"/>
                <w:sz w:val="24"/>
                <w:szCs w:val="24"/>
              </w:rPr>
              <w:t>4.</w:t>
            </w:r>
            <w:r>
              <w:rPr>
                <w:rFonts w:hint="eastAsia" w:ascii="宋体" w:hAnsi="宋体" w:eastAsia="宋体"/>
                <w:sz w:val="24"/>
                <w:szCs w:val="24"/>
                <w:lang w:val="en-US" w:eastAsia="zh-CN"/>
              </w:rPr>
              <w:t>8</w:t>
            </w:r>
            <w:r>
              <w:rPr>
                <w:rFonts w:hint="eastAsia" w:ascii="宋体" w:hAnsi="宋体" w:eastAsia="宋体"/>
                <w:b/>
                <w:bCs/>
                <w:sz w:val="24"/>
                <w:szCs w:val="24"/>
              </w:rPr>
              <w:t>可以与LIS/HIS系统实现无缝对接</w:t>
            </w:r>
            <w:r>
              <w:rPr>
                <w:rFonts w:hint="eastAsia" w:ascii="宋体" w:hAnsi="宋体" w:eastAsia="宋体"/>
                <w:sz w:val="24"/>
                <w:szCs w:val="24"/>
              </w:rPr>
              <w:t>，</w:t>
            </w:r>
            <w:r>
              <w:rPr>
                <w:rFonts w:hint="eastAsia" w:ascii="宋体" w:hAnsi="宋体" w:eastAsia="宋体"/>
                <w:sz w:val="24"/>
                <w:szCs w:val="24"/>
                <w:highlight w:val="yellow"/>
                <w:lang w:val="en-US" w:eastAsia="zh-CN"/>
              </w:rPr>
              <w:t>微生物鉴定结果可自动传输到实验室LIS系统，</w:t>
            </w:r>
            <w:r>
              <w:rPr>
                <w:rFonts w:hint="eastAsia" w:ascii="宋体" w:hAnsi="宋体" w:eastAsia="宋体"/>
                <w:sz w:val="24"/>
                <w:szCs w:val="24"/>
                <w:highlight w:val="yellow"/>
              </w:rPr>
              <w:t>可实现病人样品信息录入、实验数据存储及统计分析、报告审核、打印分发等功能，有效提高信息化程度</w:t>
            </w:r>
            <w:r>
              <w:rPr>
                <w:rFonts w:hint="eastAsia" w:ascii="宋体" w:hAnsi="宋体" w:eastAsia="宋体"/>
                <w:sz w:val="24"/>
                <w:szCs w:val="24"/>
                <w:highlight w:val="yellow"/>
                <w:lang w:eastAsia="zh-CN"/>
              </w:rPr>
              <w:t>，</w:t>
            </w:r>
            <w:r>
              <w:rPr>
                <w:rFonts w:hint="eastAsia" w:ascii="宋体" w:hAnsi="宋体" w:eastAsia="宋体"/>
                <w:sz w:val="24"/>
                <w:szCs w:val="24"/>
                <w:highlight w:val="yellow"/>
                <w:lang w:val="en-US" w:eastAsia="zh-CN"/>
              </w:rPr>
              <w:t>能负责数据的对接和维护。</w:t>
            </w:r>
          </w:p>
          <w:p w14:paraId="723DF7F3">
            <w:pPr>
              <w:widowControl w:val="0"/>
              <w:textAlignment w:val="baseline"/>
              <w:rPr>
                <w:rFonts w:hint="eastAsia" w:ascii="宋体" w:hAnsi="宋体" w:eastAsia="宋体"/>
                <w:color w:val="FF0000"/>
                <w:sz w:val="24"/>
                <w:szCs w:val="24"/>
                <w:lang w:val="en-US" w:eastAsia="zh-CN"/>
              </w:rPr>
            </w:pPr>
            <w:r>
              <w:rPr>
                <w:rFonts w:ascii="宋体" w:hAnsi="宋体" w:eastAsia="宋体"/>
                <w:sz w:val="24"/>
                <w:szCs w:val="24"/>
              </w:rPr>
              <w:t>4.</w:t>
            </w:r>
            <w:r>
              <w:rPr>
                <w:rFonts w:hint="eastAsia" w:ascii="宋体" w:hAnsi="宋体" w:eastAsia="宋体"/>
                <w:sz w:val="24"/>
                <w:szCs w:val="24"/>
                <w:lang w:val="en-US" w:eastAsia="zh-CN"/>
              </w:rPr>
              <w:t>9</w:t>
            </w:r>
            <w:r>
              <w:rPr>
                <w:rFonts w:ascii="宋体" w:hAnsi="宋体" w:eastAsia="宋体"/>
                <w:sz w:val="24"/>
                <w:szCs w:val="24"/>
              </w:rPr>
              <w:t>可</w:t>
            </w:r>
            <w:r>
              <w:rPr>
                <w:rFonts w:hint="eastAsia" w:ascii="宋体" w:hAnsi="宋体" w:eastAsia="宋体"/>
                <w:sz w:val="24"/>
                <w:szCs w:val="24"/>
              </w:rPr>
              <w:t>提供微生物鉴定/药敏解决方案，拓展微生物科室自动化及信息化</w:t>
            </w:r>
            <w:r>
              <w:rPr>
                <w:rFonts w:hint="eastAsia" w:ascii="宋体" w:hAnsi="宋体" w:eastAsia="宋体"/>
                <w:sz w:val="24"/>
                <w:szCs w:val="24"/>
                <w:lang w:eastAsia="zh-CN"/>
              </w:rPr>
              <w:t>，</w:t>
            </w:r>
            <w:r>
              <w:rPr>
                <w:rFonts w:hint="eastAsia" w:ascii="宋体" w:hAnsi="宋体" w:eastAsia="宋体"/>
                <w:sz w:val="24"/>
                <w:szCs w:val="24"/>
              </w:rPr>
              <w:t>质谱和药敏数据同源，避免菌名不一致，同时质谱与药敏数据自动传输</w:t>
            </w:r>
            <w:r>
              <w:rPr>
                <w:rFonts w:ascii="宋体" w:hAnsi="宋体" w:eastAsia="宋体"/>
                <w:sz w:val="24"/>
                <w:szCs w:val="24"/>
              </w:rPr>
              <w:t>。</w:t>
            </w:r>
          </w:p>
          <w:p w14:paraId="528AA49B">
            <w:pPr>
              <w:widowControl w:val="0"/>
              <w:textAlignment w:val="baseline"/>
              <w:rPr>
                <w:rFonts w:hint="eastAsia" w:ascii="宋体" w:hAnsi="宋体" w:eastAsia="宋体"/>
                <w:b/>
                <w:bCs/>
                <w:sz w:val="24"/>
                <w:szCs w:val="24"/>
              </w:rPr>
            </w:pPr>
            <w:r>
              <w:rPr>
                <w:rFonts w:hint="eastAsia" w:ascii="宋体" w:hAnsi="宋体" w:eastAsia="宋体"/>
                <w:b/>
                <w:bCs/>
                <w:sz w:val="24"/>
                <w:szCs w:val="24"/>
              </w:rPr>
              <w:t>5. 数据库</w:t>
            </w:r>
            <w:r>
              <w:rPr>
                <w:rFonts w:hint="eastAsia" w:ascii="宋体" w:hAnsi="宋体" w:eastAsia="宋体"/>
                <w:b/>
                <w:bCs/>
                <w:sz w:val="24"/>
                <w:szCs w:val="24"/>
                <w:lang w:val="en-US" w:eastAsia="zh-CN"/>
              </w:rPr>
              <w:t>及应用</w:t>
            </w:r>
            <w:r>
              <w:rPr>
                <w:rFonts w:hint="eastAsia" w:ascii="宋体" w:hAnsi="宋体" w:eastAsia="宋体"/>
                <w:b/>
                <w:bCs/>
                <w:sz w:val="24"/>
                <w:szCs w:val="24"/>
              </w:rPr>
              <w:t>：</w:t>
            </w:r>
          </w:p>
          <w:p w14:paraId="4D94A833">
            <w:pPr>
              <w:widowControl w:val="0"/>
              <w:textAlignment w:val="baseline"/>
              <w:rPr>
                <w:rFonts w:hint="eastAsia" w:ascii="宋体" w:hAnsi="宋体" w:eastAsia="宋体"/>
                <w:sz w:val="24"/>
                <w:szCs w:val="24"/>
              </w:rPr>
            </w:pPr>
            <w:r>
              <w:rPr>
                <w:rFonts w:hint="eastAsia" w:ascii="宋体" w:hAnsi="宋体" w:eastAsia="宋体"/>
                <w:sz w:val="24"/>
                <w:szCs w:val="24"/>
              </w:rPr>
              <w:t>5.1标配</w:t>
            </w:r>
            <w:r>
              <w:rPr>
                <w:rFonts w:hint="eastAsia" w:ascii="宋体" w:hAnsi="宋体" w:eastAsia="宋体"/>
                <w:sz w:val="24"/>
                <w:szCs w:val="24"/>
                <w:lang w:val="en-US" w:eastAsia="zh-CN"/>
              </w:rPr>
              <w:t>本地</w:t>
            </w:r>
            <w:r>
              <w:rPr>
                <w:rFonts w:hint="eastAsia" w:ascii="宋体" w:hAnsi="宋体" w:eastAsia="宋体"/>
                <w:sz w:val="24"/>
                <w:szCs w:val="24"/>
              </w:rPr>
              <w:t>数据库容量：</w:t>
            </w:r>
            <w:r>
              <w:rPr>
                <w:rFonts w:hint="eastAsia" w:ascii="宋体" w:hAnsi="宋体" w:eastAsia="宋体"/>
                <w:sz w:val="24"/>
                <w:szCs w:val="24"/>
                <w:highlight w:val="yellow"/>
              </w:rPr>
              <w:t>菌种数量≥</w:t>
            </w:r>
            <w:r>
              <w:rPr>
                <w:rFonts w:hint="eastAsia" w:ascii="宋体" w:hAnsi="宋体" w:eastAsia="宋体"/>
                <w:sz w:val="24"/>
                <w:szCs w:val="24"/>
                <w:highlight w:val="yellow"/>
                <w:lang w:val="en-US" w:eastAsia="zh-CN"/>
              </w:rPr>
              <w:t>40</w:t>
            </w:r>
            <w:r>
              <w:rPr>
                <w:rFonts w:hint="eastAsia" w:ascii="宋体" w:hAnsi="宋体" w:eastAsia="宋体"/>
                <w:sz w:val="24"/>
                <w:szCs w:val="24"/>
                <w:highlight w:val="yellow"/>
              </w:rPr>
              <w:t>00种</w:t>
            </w:r>
            <w:r>
              <w:rPr>
                <w:rFonts w:hint="eastAsia" w:ascii="宋体" w:hAnsi="宋体" w:eastAsia="宋体"/>
                <w:sz w:val="24"/>
                <w:szCs w:val="24"/>
                <w:highlight w:val="yellow"/>
                <w:lang w:eastAsia="zh-CN"/>
              </w:rPr>
              <w:t>，</w:t>
            </w:r>
            <w:r>
              <w:rPr>
                <w:rFonts w:hint="eastAsia" w:ascii="宋体" w:hAnsi="宋体" w:eastAsia="宋体"/>
                <w:sz w:val="24"/>
                <w:szCs w:val="24"/>
              </w:rPr>
              <w:t>应涵盖临床医学检验、疾控病原菌、环境微生物、食药微生物等相关领域,</w:t>
            </w:r>
            <w:r>
              <w:rPr>
                <w:rFonts w:hint="eastAsia" w:ascii="宋体" w:hAnsi="宋体" w:eastAsia="宋体"/>
                <w:sz w:val="24"/>
                <w:szCs w:val="24"/>
                <w:highlight w:val="yellow"/>
              </w:rPr>
              <w:t>数据库可终生免费升级</w:t>
            </w:r>
            <w:r>
              <w:rPr>
                <w:rFonts w:hint="eastAsia" w:ascii="宋体" w:hAnsi="宋体" w:eastAsia="宋体"/>
                <w:sz w:val="24"/>
                <w:szCs w:val="24"/>
                <w:highlight w:val="yellow"/>
                <w:lang w:val="en-US" w:eastAsia="zh-CN"/>
              </w:rPr>
              <w:t>更新</w:t>
            </w:r>
            <w:r>
              <w:rPr>
                <w:rFonts w:hint="eastAsia" w:ascii="宋体" w:hAnsi="宋体" w:eastAsia="宋体"/>
                <w:sz w:val="24"/>
                <w:szCs w:val="24"/>
              </w:rPr>
              <w:t>。</w:t>
            </w:r>
          </w:p>
          <w:p w14:paraId="56A776EF">
            <w:pPr>
              <w:widowControl w:val="0"/>
              <w:textAlignment w:val="baseline"/>
              <w:rPr>
                <w:rFonts w:hint="eastAsia" w:ascii="宋体" w:hAnsi="宋体" w:eastAsia="宋体"/>
                <w:sz w:val="24"/>
                <w:szCs w:val="24"/>
                <w:highlight w:val="yellow"/>
                <w:lang w:eastAsia="zh-CN"/>
              </w:rPr>
            </w:pPr>
            <w:r>
              <w:rPr>
                <w:rFonts w:hint="eastAsia" w:ascii="宋体" w:hAnsi="宋体" w:eastAsia="宋体"/>
                <w:sz w:val="24"/>
                <w:szCs w:val="24"/>
                <w:lang w:val="en-US" w:eastAsia="zh-CN"/>
              </w:rPr>
              <w:t>5.2</w:t>
            </w:r>
            <w:r>
              <w:rPr>
                <w:rFonts w:hint="eastAsia" w:ascii="宋体" w:hAnsi="宋体" w:eastAsia="宋体"/>
                <w:sz w:val="24"/>
                <w:szCs w:val="24"/>
                <w:highlight w:val="yellow"/>
              </w:rPr>
              <w:t>能用于微生物（细菌，丝状真菌，酵母，分枝杆菌等）样品的快速鉴定</w:t>
            </w:r>
            <w:r>
              <w:rPr>
                <w:rFonts w:hint="eastAsia" w:ascii="宋体" w:hAnsi="宋体" w:eastAsia="宋体"/>
                <w:sz w:val="24"/>
                <w:szCs w:val="24"/>
                <w:highlight w:val="yellow"/>
                <w:lang w:eastAsia="zh-CN"/>
              </w:rPr>
              <w:t>，鉴定数据库需包含不限于</w:t>
            </w:r>
            <w:r>
              <w:rPr>
                <w:rFonts w:hint="eastAsia" w:ascii="宋体" w:hAnsi="宋体" w:eastAsia="宋体"/>
                <w:sz w:val="24"/>
                <w:szCs w:val="24"/>
                <w:highlight w:val="yellow"/>
                <w:lang w:val="en-US" w:eastAsia="zh-CN"/>
              </w:rPr>
              <w:t>脑膜炎奈瑟菌</w:t>
            </w:r>
            <w:r>
              <w:rPr>
                <w:rFonts w:hint="eastAsia" w:ascii="宋体" w:hAnsi="宋体" w:eastAsia="宋体"/>
                <w:sz w:val="24"/>
                <w:szCs w:val="24"/>
                <w:highlight w:val="yellow"/>
                <w:lang w:eastAsia="zh-CN"/>
              </w:rPr>
              <w:t>、鼠疫</w:t>
            </w:r>
            <w:r>
              <w:rPr>
                <w:rFonts w:hint="eastAsia" w:ascii="宋体" w:hAnsi="宋体" w:eastAsia="宋体"/>
                <w:sz w:val="24"/>
                <w:szCs w:val="24"/>
                <w:highlight w:val="yellow"/>
                <w:lang w:val="en-US" w:eastAsia="zh-CN"/>
              </w:rPr>
              <w:t>、</w:t>
            </w:r>
            <w:r>
              <w:rPr>
                <w:rFonts w:hint="eastAsia" w:ascii="宋体" w:hAnsi="宋体" w:eastAsia="宋体"/>
                <w:sz w:val="24"/>
                <w:szCs w:val="24"/>
                <w:highlight w:val="yellow"/>
                <w:lang w:eastAsia="zh-CN"/>
              </w:rPr>
              <w:t>炭疽、霍乱弧菌、副溶血弧菌、伤寒沙门菌、布鲁氏菌、军团菌属、耶尔森菌属、白喉棒状杆菌、产气荚膜梭菌等高致病性菌株数据，</w:t>
            </w:r>
            <w:r>
              <w:rPr>
                <w:rFonts w:hint="eastAsia" w:ascii="宋体" w:hAnsi="宋体" w:eastAsia="宋体"/>
                <w:sz w:val="24"/>
                <w:szCs w:val="24"/>
                <w:highlight w:val="yellow"/>
                <w:lang w:val="en-US" w:eastAsia="zh-CN"/>
              </w:rPr>
              <w:t>具有高危致病菌标识，能</w:t>
            </w:r>
            <w:r>
              <w:rPr>
                <w:rFonts w:hint="eastAsia" w:ascii="宋体" w:hAnsi="宋体" w:eastAsia="宋体"/>
                <w:sz w:val="24"/>
                <w:szCs w:val="24"/>
                <w:highlight w:val="yellow"/>
                <w:lang w:eastAsia="zh-CN"/>
              </w:rPr>
              <w:t>提供有效证明材料</w:t>
            </w:r>
            <w:r>
              <w:rPr>
                <w:rFonts w:hint="eastAsia" w:ascii="宋体" w:hAnsi="宋体" w:eastAsia="宋体"/>
                <w:sz w:val="24"/>
                <w:szCs w:val="24"/>
                <w:highlight w:val="yellow"/>
                <w:lang w:val="en-US" w:eastAsia="zh-CN"/>
              </w:rPr>
              <w:t>。同时</w:t>
            </w:r>
            <w:r>
              <w:rPr>
                <w:rFonts w:hint="eastAsia" w:ascii="宋体" w:hAnsi="宋体" w:eastAsia="宋体"/>
                <w:sz w:val="24"/>
                <w:szCs w:val="24"/>
                <w:highlight w:val="yellow"/>
              </w:rPr>
              <w:t>支持β内酰胺酶活性检测，以判断菌株的耐药性</w:t>
            </w:r>
            <w:r>
              <w:rPr>
                <w:rFonts w:hint="eastAsia" w:ascii="宋体" w:hAnsi="宋体" w:eastAsia="宋体"/>
                <w:sz w:val="24"/>
                <w:szCs w:val="24"/>
                <w:highlight w:val="yellow"/>
                <w:lang w:eastAsia="zh-CN"/>
              </w:rPr>
              <w:t>。</w:t>
            </w:r>
          </w:p>
          <w:p w14:paraId="50DC79EF">
            <w:pPr>
              <w:widowControl w:val="0"/>
              <w:textAlignment w:val="baseline"/>
              <w:rPr>
                <w:rFonts w:hint="eastAsia" w:ascii="宋体" w:hAnsi="宋体" w:eastAsia="宋体"/>
                <w:sz w:val="24"/>
                <w:szCs w:val="24"/>
                <w:highlight w:val="yellow"/>
                <w:lang w:eastAsia="zh-CN"/>
              </w:rPr>
            </w:pPr>
            <w:r>
              <w:rPr>
                <w:rFonts w:hint="eastAsia" w:ascii="宋体" w:hAnsi="宋体" w:eastAsia="宋体"/>
                <w:sz w:val="24"/>
                <w:szCs w:val="24"/>
              </w:rPr>
              <w:t>5.</w:t>
            </w:r>
            <w:r>
              <w:rPr>
                <w:rFonts w:hint="eastAsia" w:ascii="宋体" w:hAnsi="宋体" w:eastAsia="宋体"/>
                <w:sz w:val="24"/>
                <w:szCs w:val="24"/>
                <w:lang w:val="en-US" w:eastAsia="zh-CN"/>
              </w:rPr>
              <w:t>3</w:t>
            </w:r>
            <w:r>
              <w:rPr>
                <w:rFonts w:hint="eastAsia" w:ascii="宋体" w:hAnsi="宋体" w:eastAsia="宋体"/>
                <w:sz w:val="24"/>
                <w:szCs w:val="24"/>
              </w:rPr>
              <w:t xml:space="preserve"> 丝状真菌数据库大于</w:t>
            </w:r>
            <w:r>
              <w:rPr>
                <w:rFonts w:hint="eastAsia" w:ascii="宋体" w:hAnsi="宋体" w:eastAsia="宋体"/>
                <w:sz w:val="24"/>
                <w:szCs w:val="24"/>
                <w:lang w:val="en-US" w:eastAsia="zh-CN"/>
              </w:rPr>
              <w:t>4</w:t>
            </w:r>
            <w:r>
              <w:rPr>
                <w:rFonts w:hint="eastAsia" w:ascii="宋体" w:hAnsi="宋体" w:eastAsia="宋体"/>
                <w:sz w:val="24"/>
                <w:szCs w:val="24"/>
              </w:rPr>
              <w:t>00种，且具备完整的真菌解决方案，且</w:t>
            </w:r>
            <w:r>
              <w:rPr>
                <w:rFonts w:hint="eastAsia" w:ascii="宋体" w:hAnsi="宋体" w:eastAsia="宋体"/>
                <w:sz w:val="24"/>
                <w:szCs w:val="24"/>
                <w:highlight w:val="yellow"/>
              </w:rPr>
              <w:t>包含黄曲霉、</w:t>
            </w:r>
            <w:r>
              <w:rPr>
                <w:rFonts w:hint="eastAsia" w:ascii="宋体" w:hAnsi="宋体" w:eastAsia="宋体"/>
                <w:sz w:val="24"/>
                <w:szCs w:val="24"/>
                <w:highlight w:val="yellow"/>
                <w:lang w:val="en-US" w:eastAsia="zh-CN"/>
              </w:rPr>
              <w:t>黑曲霉、烟曲霉、</w:t>
            </w:r>
            <w:r>
              <w:rPr>
                <w:rFonts w:hint="eastAsia" w:ascii="宋体" w:hAnsi="宋体" w:eastAsia="宋体"/>
                <w:sz w:val="24"/>
                <w:szCs w:val="24"/>
                <w:highlight w:val="yellow"/>
              </w:rPr>
              <w:t>短孢弯孢、草酸青霉、橙色红曲、蜂蜜曲霉、黑根霉、酱油曲霉、燕麦镰刀菌、纸葡萄穗霉等真菌</w:t>
            </w:r>
            <w:r>
              <w:rPr>
                <w:rFonts w:hint="eastAsia" w:ascii="宋体" w:hAnsi="宋体" w:eastAsia="宋体"/>
                <w:sz w:val="24"/>
                <w:szCs w:val="24"/>
                <w:highlight w:val="yellow"/>
                <w:lang w:eastAsia="zh-CN"/>
              </w:rPr>
              <w:t>。</w:t>
            </w:r>
          </w:p>
          <w:p w14:paraId="0E07C96E">
            <w:pPr>
              <w:widowControl w:val="0"/>
              <w:textAlignment w:val="baseline"/>
              <w:rPr>
                <w:rFonts w:hint="eastAsia" w:ascii="宋体" w:hAnsi="宋体" w:eastAsia="宋体"/>
                <w:b/>
                <w:bCs/>
                <w:sz w:val="24"/>
                <w:szCs w:val="24"/>
                <w:lang w:val="en-US" w:eastAsia="zh-CN"/>
              </w:rPr>
            </w:pPr>
            <w:r>
              <w:rPr>
                <w:rFonts w:hint="eastAsia" w:ascii="宋体" w:hAnsi="宋体" w:eastAsia="宋体"/>
                <w:b/>
                <w:bCs/>
                <w:sz w:val="24"/>
                <w:szCs w:val="24"/>
              </w:rPr>
              <w:t>6.数据处理系统：Windows</w:t>
            </w:r>
            <w:r>
              <w:rPr>
                <w:rFonts w:hint="eastAsia" w:ascii="宋体" w:hAnsi="宋体" w:eastAsia="宋体"/>
                <w:b/>
                <w:bCs/>
                <w:sz w:val="24"/>
                <w:szCs w:val="24"/>
                <w:lang w:val="en-US" w:eastAsia="zh-CN"/>
              </w:rPr>
              <w:t>10</w:t>
            </w:r>
            <w:r>
              <w:rPr>
                <w:rFonts w:hint="eastAsia" w:ascii="宋体" w:hAnsi="宋体" w:eastAsia="宋体"/>
                <w:b/>
                <w:bCs/>
                <w:sz w:val="24"/>
                <w:szCs w:val="24"/>
              </w:rPr>
              <w:t>以上操作系统，双核处理器，≥8GB内存，≥1TB硬盘。</w:t>
            </w:r>
          </w:p>
          <w:p w14:paraId="2C9656C0">
            <w:pPr>
              <w:widowControl w:val="0"/>
              <w:ind w:left="0" w:leftChars="0" w:firstLine="482" w:firstLineChars="200"/>
              <w:textAlignment w:val="baseline"/>
              <w:rPr>
                <w:rFonts w:hint="eastAsia" w:ascii="宋体" w:hAnsi="宋体" w:eastAsia="宋体"/>
                <w:b/>
                <w:bCs/>
                <w:sz w:val="24"/>
                <w:szCs w:val="24"/>
              </w:rPr>
            </w:pPr>
            <w:r>
              <w:rPr>
                <w:rFonts w:hint="eastAsia" w:ascii="宋体" w:hAnsi="宋体" w:eastAsia="宋体"/>
                <w:b/>
                <w:bCs/>
                <w:sz w:val="24"/>
                <w:szCs w:val="24"/>
              </w:rPr>
              <w:t>7.消耗品</w:t>
            </w:r>
            <w:r>
              <w:rPr>
                <w:rFonts w:hint="eastAsia" w:ascii="宋体" w:hAnsi="宋体" w:eastAsia="宋体"/>
                <w:b/>
                <w:bCs/>
                <w:sz w:val="24"/>
                <w:szCs w:val="24"/>
                <w:lang w:val="en-US" w:eastAsia="zh-CN"/>
              </w:rPr>
              <w:t>及配套仪器耗材</w:t>
            </w:r>
            <w:r>
              <w:rPr>
                <w:rFonts w:hint="eastAsia" w:ascii="宋体" w:hAnsi="宋体" w:eastAsia="宋体"/>
                <w:b/>
                <w:bCs/>
                <w:sz w:val="24"/>
                <w:szCs w:val="24"/>
              </w:rPr>
              <w:tab/>
            </w:r>
          </w:p>
          <w:p w14:paraId="2E17296C">
            <w:pPr>
              <w:widowControl w:val="0"/>
              <w:ind w:left="0" w:leftChars="0" w:firstLine="480" w:firstLineChars="200"/>
              <w:textAlignment w:val="baseline"/>
              <w:rPr>
                <w:rFonts w:hint="eastAsia" w:ascii="宋体" w:hAnsi="宋体" w:eastAsia="宋体"/>
                <w:sz w:val="24"/>
                <w:szCs w:val="24"/>
              </w:rPr>
            </w:pPr>
            <w:bookmarkStart w:id="1" w:name="OLE_LINK5"/>
            <w:r>
              <w:rPr>
                <w:rFonts w:hint="eastAsia" w:ascii="宋体" w:hAnsi="宋体" w:eastAsia="宋体"/>
                <w:sz w:val="24"/>
                <w:szCs w:val="24"/>
              </w:rPr>
              <w:t>7.1可提供质谱样本预处理试剂（包含基质及前处理试剂）。</w:t>
            </w:r>
          </w:p>
          <w:p w14:paraId="6B0BA00B">
            <w:pPr>
              <w:widowControl w:val="0"/>
              <w:ind w:left="0" w:leftChars="0" w:firstLine="480" w:firstLineChars="200"/>
              <w:textAlignment w:val="baseline"/>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2</w:t>
            </w:r>
            <w:r>
              <w:rPr>
                <w:rFonts w:hint="eastAsia" w:ascii="宋体" w:hAnsi="宋体" w:eastAsia="宋体"/>
                <w:sz w:val="24"/>
                <w:szCs w:val="24"/>
              </w:rPr>
              <w:t>可提供分体式</w:t>
            </w:r>
            <w:r>
              <w:rPr>
                <w:rFonts w:hint="eastAsia" w:ascii="宋体" w:hAnsi="宋体" w:eastAsia="宋体"/>
                <w:sz w:val="24"/>
                <w:szCs w:val="24"/>
                <w:lang w:val="en-US" w:eastAsia="zh-CN"/>
              </w:rPr>
              <w:t>96孔</w:t>
            </w:r>
            <w:r>
              <w:rPr>
                <w:rFonts w:hint="eastAsia" w:ascii="宋体" w:hAnsi="宋体" w:eastAsia="宋体"/>
                <w:sz w:val="24"/>
                <w:szCs w:val="24"/>
              </w:rPr>
              <w:t>标本板。</w:t>
            </w:r>
          </w:p>
          <w:p w14:paraId="143B7AE4">
            <w:pPr>
              <w:widowControl w:val="0"/>
              <w:ind w:left="0" w:leftChars="0" w:firstLine="480" w:firstLineChars="200"/>
              <w:textAlignment w:val="baseline"/>
              <w:rPr>
                <w:rFonts w:hint="eastAsia" w:ascii="仿宋" w:hAnsi="仿宋" w:eastAsia="仿宋" w:cs="仿宋"/>
                <w:b w:val="0"/>
                <w:bCs/>
                <w:color w:val="auto"/>
                <w:spacing w:val="20"/>
                <w:sz w:val="24"/>
                <w:szCs w:val="32"/>
                <w:lang w:val="en-US" w:eastAsia="zh-CN"/>
              </w:rPr>
            </w:pPr>
            <w:r>
              <w:rPr>
                <w:rFonts w:hint="eastAsia" w:ascii="宋体" w:hAnsi="宋体" w:eastAsia="宋体"/>
                <w:sz w:val="24"/>
                <w:szCs w:val="24"/>
                <w:lang w:val="en-US" w:eastAsia="zh-CN"/>
              </w:rPr>
              <w:t>7.3可配套用于微生物质谱分析仪正常检测的辅助仪器耗材</w:t>
            </w:r>
            <w:bookmarkEnd w:id="1"/>
            <w:r>
              <w:rPr>
                <w:rFonts w:hint="eastAsia" w:ascii="宋体" w:hAnsi="宋体" w:eastAsia="宋体"/>
                <w:sz w:val="24"/>
                <w:szCs w:val="24"/>
                <w:lang w:val="en-US" w:eastAsia="zh-CN"/>
              </w:rPr>
              <w:t>。</w:t>
            </w:r>
          </w:p>
        </w:tc>
      </w:tr>
    </w:tbl>
    <w:p w14:paraId="76C8EF8F">
      <w:pPr>
        <w:pStyle w:val="4"/>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OTNkNDIxODIwZjk0ZjliM2FkMjRjNjQzMWJhZTMifQ=="/>
  </w:docVars>
  <w:rsids>
    <w:rsidRoot w:val="00000000"/>
    <w:rsid w:val="01EA0BE5"/>
    <w:rsid w:val="02227DC5"/>
    <w:rsid w:val="02F6215F"/>
    <w:rsid w:val="03D56A80"/>
    <w:rsid w:val="09F102DE"/>
    <w:rsid w:val="0A630A62"/>
    <w:rsid w:val="0D5072AC"/>
    <w:rsid w:val="0F716AF4"/>
    <w:rsid w:val="0FF2208C"/>
    <w:rsid w:val="103E1F42"/>
    <w:rsid w:val="176B4BCE"/>
    <w:rsid w:val="184C3F44"/>
    <w:rsid w:val="354E552E"/>
    <w:rsid w:val="35B83D3D"/>
    <w:rsid w:val="362E4123"/>
    <w:rsid w:val="3AB33AFD"/>
    <w:rsid w:val="3B057795"/>
    <w:rsid w:val="409B6E61"/>
    <w:rsid w:val="41B533F7"/>
    <w:rsid w:val="4268268D"/>
    <w:rsid w:val="44303FF3"/>
    <w:rsid w:val="4A9D5213"/>
    <w:rsid w:val="4C06511B"/>
    <w:rsid w:val="4DD059E1"/>
    <w:rsid w:val="4E360C07"/>
    <w:rsid w:val="4E434405"/>
    <w:rsid w:val="5333119C"/>
    <w:rsid w:val="53F25A73"/>
    <w:rsid w:val="56F86FFF"/>
    <w:rsid w:val="5BEF0AFA"/>
    <w:rsid w:val="6154366A"/>
    <w:rsid w:val="64422EE1"/>
    <w:rsid w:val="65E37FAB"/>
    <w:rsid w:val="68583E1D"/>
    <w:rsid w:val="6A7F2674"/>
    <w:rsid w:val="6AD0590A"/>
    <w:rsid w:val="6B712159"/>
    <w:rsid w:val="6F963F3C"/>
    <w:rsid w:val="6FD24A19"/>
    <w:rsid w:val="74736F2F"/>
    <w:rsid w:val="759D7DC1"/>
    <w:rsid w:val="75CA7DAC"/>
    <w:rsid w:val="7630114F"/>
    <w:rsid w:val="78244281"/>
    <w:rsid w:val="7B58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11"/>
    <w:autoRedefine/>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5">
    <w:name w:val="Normal (Web)"/>
    <w:basedOn w:val="1"/>
    <w:autoRedefine/>
    <w:qFormat/>
    <w:uiPriority w:val="99"/>
    <w:pPr>
      <w:widowControl/>
      <w:spacing w:before="100" w:beforeAutospacing="1" w:after="100"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basedOn w:val="1"/>
    <w:autoRedefine/>
    <w:qFormat/>
    <w:uiPriority w:val="0"/>
    <w:pPr>
      <w:autoSpaceDE w:val="0"/>
      <w:autoSpaceDN w:val="0"/>
      <w:adjustRightInd w:val="0"/>
      <w:jc w:val="left"/>
    </w:pPr>
    <w:rPr>
      <w:rFonts w:ascii="宋体" w:cs="宋体"/>
      <w:color w:val="000000"/>
      <w:kern w:val="0"/>
      <w:sz w:val="24"/>
      <w:szCs w:val="24"/>
    </w:rPr>
  </w:style>
  <w:style w:type="character" w:customStyle="1" w:styleId="11">
    <w:name w:val="Heading 1 Char1"/>
    <w:basedOn w:val="8"/>
    <w:link w:val="2"/>
    <w:qFormat/>
    <w:locked/>
    <w:uiPriority w:val="99"/>
    <w:rPr>
      <w:rFonts w:ascii="Calibri" w:hAnsi="Calibri" w:eastAsia="方正小标宋简体" w:cs="Times New Roman"/>
      <w:bCs/>
      <w:kern w:val="44"/>
      <w:sz w:val="44"/>
      <w:szCs w:val="44"/>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1314</Words>
  <Characters>1451</Characters>
  <Lines>0</Lines>
  <Paragraphs>0</Paragraphs>
  <TotalTime>0</TotalTime>
  <ScaleCrop>false</ScaleCrop>
  <LinksUpToDate>false</LinksUpToDate>
  <CharactersWithSpaces>1505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dcterms:modified xsi:type="dcterms:W3CDTF">2025-07-28T01:22:11Z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6FF65CE6D21A4E22B327036B981C909D_13</vt:lpwstr>
  </property>
  <property fmtid="{D5CDD505-2E9C-101B-9397-08002B2CF9AE}" pid="4" name="KSOTemplateDocerSaveRecord">
    <vt:lpwstr>eyJoZGlkIjoiYzJmM2FjNDg2OTBmY2Y3NzVjZWQ4ZjIxZWE1NDg5NTQiLCJ1c2VySWQiOiIxNjkzMzE1MTQ0In0=</vt:lpwstr>
  </property>
</Properties>
</file>