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3EDF0">
      <w:pPr>
        <w:spacing w:line="360" w:lineRule="auto"/>
        <w:jc w:val="center"/>
        <w:rPr>
          <w:rFonts w:hint="eastAsia" w:eastAsiaTheme="minorEastAsia"/>
          <w:sz w:val="24"/>
          <w:lang w:eastAsia="zh-CN"/>
        </w:rPr>
      </w:pPr>
      <w:r>
        <w:rPr>
          <w:rFonts w:hint="eastAsia"/>
          <w:sz w:val="32"/>
          <w:szCs w:val="32"/>
        </w:rPr>
        <w:t>区域合理用药管理系统建设</w:t>
      </w:r>
      <w:r>
        <w:rPr>
          <w:rFonts w:hint="eastAsia"/>
          <w:sz w:val="32"/>
          <w:szCs w:val="32"/>
          <w:lang w:eastAsia="zh-CN"/>
        </w:rPr>
        <w:t>需求</w:t>
      </w:r>
      <w:bookmarkStart w:id="3" w:name="_GoBack"/>
      <w:bookmarkEnd w:id="3"/>
    </w:p>
    <w:p w14:paraId="1133C959">
      <w:pPr>
        <w:pStyle w:val="32"/>
        <w:spacing w:line="360" w:lineRule="auto"/>
        <w:ind w:left="0"/>
        <w:rPr>
          <w:b/>
          <w:bCs/>
          <w:sz w:val="24"/>
        </w:rPr>
      </w:pPr>
    </w:p>
    <w:tbl>
      <w:tblPr>
        <w:tblStyle w:val="1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0BD9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9320" w:type="dxa"/>
            <w:shd w:val="clear" w:color="auto" w:fill="auto"/>
            <w:vAlign w:val="center"/>
          </w:tcPr>
          <w:tbl>
            <w:tblPr>
              <w:tblStyle w:val="17"/>
              <w:tblpPr w:leftFromText="180" w:rightFromText="180" w:vertAnchor="page" w:horzAnchor="page" w:tblpX="-45" w:tblpY="-524"/>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70"/>
              <w:gridCol w:w="6975"/>
            </w:tblGrid>
            <w:tr w14:paraId="4177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2D83A5EF">
                  <w:pPr>
                    <w:spacing w:line="300" w:lineRule="exact"/>
                    <w:rPr>
                      <w:rFonts w:hint="eastAsia" w:ascii="宋体" w:hAnsi="宋体" w:eastAsia="宋体" w:cs="Times New Roman"/>
                      <w:szCs w:val="21"/>
                    </w:rPr>
                  </w:pPr>
                  <w:r>
                    <w:rPr>
                      <w:rFonts w:ascii="宋体" w:hAnsi="宋体" w:eastAsia="宋体" w:cs="Times New Roman"/>
                      <w:szCs w:val="21"/>
                    </w:rPr>
                    <w:t>序号</w:t>
                  </w:r>
                </w:p>
              </w:tc>
              <w:tc>
                <w:tcPr>
                  <w:tcW w:w="1770" w:type="dxa"/>
                  <w:vAlign w:val="center"/>
                </w:tcPr>
                <w:p w14:paraId="3E32BD7C">
                  <w:pPr>
                    <w:spacing w:line="360" w:lineRule="auto"/>
                    <w:jc w:val="center"/>
                    <w:rPr>
                      <w:rFonts w:hint="eastAsia" w:ascii="宋体" w:hAnsi="宋体" w:eastAsia="宋体" w:cs="Times New Roman"/>
                      <w:szCs w:val="21"/>
                    </w:rPr>
                  </w:pPr>
                  <w:r>
                    <w:rPr>
                      <w:rFonts w:ascii="宋体" w:hAnsi="宋体" w:eastAsia="宋体" w:cs="Times New Roman"/>
                      <w:szCs w:val="21"/>
                    </w:rPr>
                    <w:t>子项</w:t>
                  </w:r>
                </w:p>
              </w:tc>
              <w:tc>
                <w:tcPr>
                  <w:tcW w:w="6975" w:type="dxa"/>
                  <w:vAlign w:val="center"/>
                </w:tcPr>
                <w:p w14:paraId="530C2E3C">
                  <w:pPr>
                    <w:spacing w:line="360" w:lineRule="auto"/>
                    <w:jc w:val="center"/>
                    <w:rPr>
                      <w:rFonts w:hint="eastAsia" w:ascii="宋体" w:hAnsi="宋体" w:eastAsia="宋体" w:cs="Times New Roman"/>
                      <w:szCs w:val="21"/>
                    </w:rPr>
                  </w:pPr>
                  <w:r>
                    <w:rPr>
                      <w:rFonts w:ascii="宋体" w:hAnsi="宋体" w:eastAsia="宋体" w:cs="Times New Roman"/>
                      <w:szCs w:val="21"/>
                    </w:rPr>
                    <w:t>详细要求</w:t>
                  </w:r>
                </w:p>
              </w:tc>
            </w:tr>
            <w:tr w14:paraId="5C39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0" w:type="dxa"/>
                  <w:gridSpan w:val="3"/>
                  <w:vAlign w:val="center"/>
                </w:tcPr>
                <w:p w14:paraId="2670A94B">
                  <w:pPr>
                    <w:spacing w:line="360" w:lineRule="auto"/>
                    <w:rPr>
                      <w:rFonts w:hint="eastAsia" w:ascii="宋体" w:hAnsi="宋体" w:eastAsia="宋体" w:cs="Arial"/>
                      <w:b/>
                      <w:bCs/>
                      <w:szCs w:val="21"/>
                    </w:rPr>
                  </w:pPr>
                  <w:r>
                    <w:rPr>
                      <w:rFonts w:hint="eastAsia" w:ascii="宋体" w:hAnsi="宋体" w:eastAsia="宋体" w:cs="Arial"/>
                      <w:b/>
                      <w:bCs/>
                      <w:szCs w:val="21"/>
                    </w:rPr>
                    <w:t>合理用药审查功能要求</w:t>
                  </w:r>
                </w:p>
              </w:tc>
            </w:tr>
            <w:tr w14:paraId="36EE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06618266">
                  <w:pPr>
                    <w:jc w:val="center"/>
                    <w:rPr>
                      <w:rFonts w:hint="eastAsia" w:ascii="宋体" w:hAnsi="宋体" w:eastAsia="宋体" w:cs="宋体"/>
                    </w:rPr>
                  </w:pPr>
                </w:p>
                <w:p w14:paraId="3632DBB8">
                  <w:pPr>
                    <w:jc w:val="center"/>
                    <w:rPr>
                      <w:rFonts w:hint="eastAsia" w:ascii="宋体" w:hAnsi="宋体" w:eastAsia="宋体" w:cs="宋体"/>
                    </w:rPr>
                  </w:pPr>
                  <w:r>
                    <w:rPr>
                      <w:rFonts w:hint="eastAsia" w:ascii="宋体" w:hAnsi="宋体" w:eastAsia="宋体" w:cs="宋体"/>
                    </w:rPr>
                    <w:t>1</w:t>
                  </w:r>
                </w:p>
              </w:tc>
              <w:tc>
                <w:tcPr>
                  <w:tcW w:w="1770" w:type="dxa"/>
                  <w:vAlign w:val="center"/>
                </w:tcPr>
                <w:p w14:paraId="2B916DB9">
                  <w:pPr>
                    <w:spacing w:line="400" w:lineRule="exact"/>
                    <w:jc w:val="center"/>
                    <w:rPr>
                      <w:rFonts w:hint="eastAsia" w:ascii="宋体" w:hAnsi="宋体" w:eastAsia="宋体" w:cs="Times New Roman"/>
                      <w:szCs w:val="21"/>
                    </w:rPr>
                  </w:pPr>
                  <w:r>
                    <w:rPr>
                      <w:rFonts w:hint="eastAsia" w:ascii="宋体" w:hAnsi="宋体" w:eastAsia="宋体" w:cs="Times New Roman"/>
                      <w:szCs w:val="21"/>
                    </w:rPr>
                    <w:t>处方（医嘱）用药审查功能</w:t>
                  </w:r>
                </w:p>
              </w:tc>
              <w:tc>
                <w:tcPr>
                  <w:tcW w:w="6975" w:type="dxa"/>
                  <w:vAlign w:val="center"/>
                </w:tcPr>
                <w:p w14:paraId="05A08A0A">
                  <w:pPr>
                    <w:widowControl/>
                    <w:spacing w:line="320" w:lineRule="exact"/>
                    <w:jc w:val="left"/>
                    <w:rPr>
                      <w:rFonts w:hint="eastAsia" w:eastAsia="宋体" w:cs="Arial" w:asciiTheme="minorEastAsia" w:hAnsiTheme="minorEastAsia"/>
                      <w:szCs w:val="21"/>
                    </w:rPr>
                  </w:pPr>
                  <w:r>
                    <w:rPr>
                      <w:rFonts w:hint="eastAsia" w:eastAsia="宋体" w:cs="Arial" w:asciiTheme="minorEastAsia" w:hAnsiTheme="minorEastAsia"/>
                      <w:szCs w:val="21"/>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p w14:paraId="6CEEC5E1">
                  <w:pPr>
                    <w:pStyle w:val="32"/>
                    <w:widowControl/>
                    <w:numPr>
                      <w:ilvl w:val="1"/>
                      <w:numId w:val="1"/>
                    </w:numPr>
                    <w:spacing w:line="320" w:lineRule="exact"/>
                    <w:ind w:left="0" w:hanging="420"/>
                    <w:contextualSpacing w:val="0"/>
                    <w:jc w:val="left"/>
                    <w:rPr>
                      <w:rFonts w:hint="eastAsia" w:eastAsia="宋体" w:cs="Arial" w:asciiTheme="minorEastAsia" w:hAnsiTheme="minorEastAsia"/>
                      <w:szCs w:val="21"/>
                    </w:rPr>
                  </w:pPr>
                  <w:r>
                    <w:rPr>
                      <w:rFonts w:hint="eastAsia" w:eastAsia="宋体" w:cs="Arial" w:asciiTheme="minorEastAsia" w:hAnsiTheme="minorEastAsia"/>
                      <w:szCs w:val="21"/>
                    </w:rPr>
                    <w:t>住院医嘱支持用药天数预警。</w:t>
                  </w:r>
                </w:p>
                <w:p w14:paraId="0596C916">
                  <w:pPr>
                    <w:pStyle w:val="32"/>
                    <w:numPr>
                      <w:ilvl w:val="1"/>
                      <w:numId w:val="1"/>
                    </w:numPr>
                    <w:spacing w:line="320" w:lineRule="exact"/>
                    <w:ind w:left="0" w:hanging="420"/>
                    <w:contextualSpacing w:val="0"/>
                    <w:jc w:val="left"/>
                    <w:rPr>
                      <w:rFonts w:hint="eastAsia" w:eastAsia="宋体" w:cs="Arial" w:asciiTheme="minorEastAsia" w:hAnsiTheme="minorEastAsia"/>
                      <w:szCs w:val="21"/>
                    </w:rPr>
                  </w:pPr>
                  <w:r>
                    <w:rPr>
                      <w:rFonts w:hint="eastAsia" w:eastAsia="宋体" w:cs="Arial" w:asciiTheme="minorEastAsia" w:hAnsiTheme="minorEastAsia"/>
                      <w:szCs w:val="21"/>
                    </w:rPr>
                    <w:t>可为医生提供TPN处方的营养均衡性、肠外营养浓度、溶液中渗透压浓度计算功能。</w:t>
                  </w:r>
                </w:p>
              </w:tc>
            </w:tr>
            <w:tr w14:paraId="43E5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15B7D85">
                  <w:pPr>
                    <w:pStyle w:val="32"/>
                    <w:tabs>
                      <w:tab w:val="right" w:pos="-547"/>
                      <w:tab w:val="center" w:pos="1372"/>
                    </w:tabs>
                    <w:spacing w:line="360" w:lineRule="auto"/>
                    <w:ind w:left="0" w:firstLine="210" w:firstLineChars="100"/>
                    <w:contextualSpacing w:val="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22</w:t>
                  </w:r>
                </w:p>
              </w:tc>
              <w:tc>
                <w:tcPr>
                  <w:tcW w:w="1770" w:type="dxa"/>
                  <w:vAlign w:val="center"/>
                </w:tcPr>
                <w:p w14:paraId="18552421">
                  <w:pPr>
                    <w:spacing w:line="400" w:lineRule="exact"/>
                    <w:jc w:val="center"/>
                    <w:rPr>
                      <w:rFonts w:hint="eastAsia" w:ascii="宋体" w:hAnsi="宋体" w:eastAsia="宋体" w:cs="Times New Roman"/>
                      <w:szCs w:val="21"/>
                    </w:rPr>
                  </w:pPr>
                  <w:r>
                    <w:rPr>
                      <w:rFonts w:hint="eastAsia" w:ascii="宋体" w:hAnsi="宋体" w:eastAsia="宋体" w:cs="Arial"/>
                      <w:szCs w:val="21"/>
                    </w:rPr>
                    <w:t>药品信息提示功能</w:t>
                  </w:r>
                </w:p>
              </w:tc>
              <w:tc>
                <w:tcPr>
                  <w:tcW w:w="6975" w:type="dxa"/>
                  <w:vAlign w:val="center"/>
                </w:tcPr>
                <w:p w14:paraId="2739836E">
                  <w:pPr>
                    <w:pStyle w:val="5"/>
                    <w:keepNext w:val="0"/>
                    <w:keepLines w:val="0"/>
                    <w:rPr>
                      <w:rFonts w:hint="eastAsia" w:ascii="宋体" w:hAnsi="宋体" w:eastAsia="宋体" w:cs="Arial"/>
                      <w:b/>
                      <w:bCs/>
                      <w:color w:val="auto"/>
                      <w:sz w:val="21"/>
                      <w:szCs w:val="21"/>
                    </w:rPr>
                  </w:pPr>
                  <w:r>
                    <w:rPr>
                      <w:rFonts w:hint="eastAsia" w:ascii="宋体" w:hAnsi="宋体" w:eastAsia="宋体" w:cs="Arial"/>
                      <w:color w:val="auto"/>
                      <w:sz w:val="21"/>
                      <w:szCs w:val="21"/>
                    </w:rPr>
                    <w:t>可快捷查看药品相关重要信息；药品厂家说明书，并可查看国家药监局发布的说明书修订勘误，修改和新增药品说明书内容；查询相应药品的中药材专论信息。</w:t>
                  </w:r>
                </w:p>
              </w:tc>
            </w:tr>
            <w:tr w14:paraId="0D88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3696557">
                  <w:pPr>
                    <w:jc w:val="center"/>
                    <w:rPr>
                      <w:rFonts w:hint="eastAsia" w:ascii="宋体" w:hAnsi="宋体" w:eastAsia="宋体" w:cs="宋体"/>
                    </w:rPr>
                  </w:pPr>
                </w:p>
                <w:p w14:paraId="0B6EA849">
                  <w:pPr>
                    <w:jc w:val="center"/>
                    <w:rPr>
                      <w:rFonts w:hint="eastAsia" w:ascii="宋体" w:hAnsi="宋体" w:eastAsia="宋体" w:cs="宋体"/>
                    </w:rPr>
                  </w:pPr>
                  <w:r>
                    <w:rPr>
                      <w:rFonts w:hint="eastAsia" w:ascii="宋体" w:hAnsi="宋体" w:eastAsia="宋体" w:cs="宋体"/>
                    </w:rPr>
                    <w:t>3</w:t>
                  </w:r>
                </w:p>
              </w:tc>
              <w:tc>
                <w:tcPr>
                  <w:tcW w:w="1770" w:type="dxa"/>
                  <w:vAlign w:val="center"/>
                </w:tcPr>
                <w:p w14:paraId="1D9104A5">
                  <w:pPr>
                    <w:spacing w:line="320" w:lineRule="exact"/>
                    <w:jc w:val="center"/>
                    <w:rPr>
                      <w:rFonts w:hint="eastAsia" w:ascii="宋体" w:hAnsi="宋体" w:eastAsia="宋体" w:cs="Times New Roman"/>
                      <w:szCs w:val="21"/>
                    </w:rPr>
                  </w:pPr>
                  <w:r>
                    <w:rPr>
                      <w:rFonts w:hint="eastAsia" w:ascii="宋体" w:hAnsi="宋体" w:eastAsia="宋体" w:cs="Arial"/>
                      <w:szCs w:val="21"/>
                    </w:rPr>
                    <w:t>质子泵抑制剂专项管控</w:t>
                  </w:r>
                </w:p>
              </w:tc>
              <w:tc>
                <w:tcPr>
                  <w:tcW w:w="6975" w:type="dxa"/>
                  <w:vAlign w:val="center"/>
                </w:tcPr>
                <w:p w14:paraId="69637C66">
                  <w:pPr>
                    <w:pStyle w:val="5"/>
                    <w:rPr>
                      <w:rFonts w:hint="eastAsia" w:ascii="宋体" w:hAnsi="宋体" w:eastAsia="宋体" w:cs="Arial"/>
                      <w:b/>
                      <w:color w:val="auto"/>
                      <w:sz w:val="21"/>
                      <w:szCs w:val="21"/>
                    </w:rPr>
                  </w:pPr>
                  <w:r>
                    <w:rPr>
                      <w:rFonts w:hint="eastAsia" w:ascii="宋体" w:hAnsi="宋体" w:eastAsia="宋体" w:cs="Arial"/>
                      <w:color w:val="auto"/>
                      <w:sz w:val="21"/>
                      <w:szCs w:val="21"/>
                    </w:rPr>
                    <w:t>系统可针对质子泵抑制剂提供药品专项管控，具体要求如下：</w:t>
                  </w:r>
                </w:p>
                <w:p w14:paraId="4DC306BD">
                  <w:pPr>
                    <w:pStyle w:val="5"/>
                    <w:numPr>
                      <w:ilvl w:val="0"/>
                      <w:numId w:val="2"/>
                    </w:numPr>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医生开具质子泵抑制剂药品时，需填写用药评估单。提供评估单专项统计分析。</w:t>
                  </w:r>
                </w:p>
                <w:p w14:paraId="0459993C">
                  <w:pPr>
                    <w:pStyle w:val="5"/>
                    <w:numPr>
                      <w:ilvl w:val="0"/>
                      <w:numId w:val="2"/>
                    </w:numPr>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“系统”可评估患者病生状态，若存在应激性溃疡风险，提供质子泵抑制剂用药建议。</w:t>
                  </w:r>
                </w:p>
                <w:p w14:paraId="06D9D39D">
                  <w:pPr>
                    <w:pStyle w:val="5"/>
                    <w:numPr>
                      <w:ilvl w:val="0"/>
                      <w:numId w:val="2"/>
                    </w:numPr>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围术期不合理使用质子泵抑制剂时，“系统”可警示医生。</w:t>
                  </w:r>
                </w:p>
                <w:p w14:paraId="72F2E773">
                  <w:pPr>
                    <w:numPr>
                      <w:ilvl w:val="0"/>
                      <w:numId w:val="2"/>
                    </w:numPr>
                    <w:spacing w:line="360" w:lineRule="auto"/>
                    <w:rPr>
                      <w:rFonts w:hint="eastAsia" w:ascii="宋体" w:hAnsi="宋体" w:eastAsia="宋体" w:cs="Arial"/>
                      <w:bCs/>
                      <w:szCs w:val="21"/>
                    </w:rPr>
                  </w:pPr>
                  <w:r>
                    <w:rPr>
                      <w:rFonts w:hint="eastAsia" w:ascii="宋体" w:hAnsi="宋体" w:eastAsia="宋体" w:cs="Arial"/>
                      <w:szCs w:val="21"/>
                    </w:rPr>
                    <w:t>提供质子泵抑制剂医保相关项目审查，如限定适应症、限二线用药等。</w:t>
                  </w:r>
                </w:p>
              </w:tc>
            </w:tr>
            <w:tr w14:paraId="0433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123E982">
                  <w:pPr>
                    <w:pStyle w:val="32"/>
                    <w:spacing w:line="360" w:lineRule="auto"/>
                    <w:ind w:left="0"/>
                    <w:contextualSpacing w:val="0"/>
                    <w:jc w:val="center"/>
                    <w:rPr>
                      <w:rFonts w:hint="eastAsia" w:ascii="宋体" w:hAnsi="宋体" w:eastAsia="宋体" w:cs="宋体"/>
                      <w:szCs w:val="21"/>
                    </w:rPr>
                  </w:pPr>
                  <w:r>
                    <w:rPr>
                      <w:rFonts w:hint="eastAsia" w:ascii="宋体" w:hAnsi="宋体" w:eastAsia="宋体" w:cs="宋体"/>
                      <w:szCs w:val="21"/>
                    </w:rPr>
                    <w:t>4</w:t>
                  </w:r>
                </w:p>
              </w:tc>
              <w:tc>
                <w:tcPr>
                  <w:tcW w:w="1770" w:type="dxa"/>
                  <w:vAlign w:val="center"/>
                </w:tcPr>
                <w:p w14:paraId="6E394E33">
                  <w:pPr>
                    <w:spacing w:line="320" w:lineRule="exact"/>
                    <w:jc w:val="center"/>
                    <w:rPr>
                      <w:rFonts w:hint="eastAsia" w:ascii="宋体" w:hAnsi="宋体" w:eastAsia="宋体" w:cs="Times New Roman"/>
                      <w:szCs w:val="21"/>
                    </w:rPr>
                  </w:pPr>
                  <w:r>
                    <w:rPr>
                      <w:rFonts w:hint="eastAsia" w:ascii="宋体" w:hAnsi="宋体" w:eastAsia="宋体" w:cs="Times New Roman"/>
                      <w:szCs w:val="21"/>
                    </w:rPr>
                    <w:t>用药指导单</w:t>
                  </w:r>
                </w:p>
              </w:tc>
              <w:tc>
                <w:tcPr>
                  <w:tcW w:w="6975" w:type="dxa"/>
                  <w:vAlign w:val="center"/>
                </w:tcPr>
                <w:p w14:paraId="3EB2D09F">
                  <w:pPr>
                    <w:pStyle w:val="5"/>
                    <w:rPr>
                      <w:rFonts w:hint="eastAsia" w:ascii="宋体" w:hAnsi="宋体" w:eastAsia="宋体"/>
                      <w:color w:val="auto"/>
                      <w:szCs w:val="21"/>
                    </w:rPr>
                  </w:pPr>
                  <w:r>
                    <w:rPr>
                      <w:rFonts w:hint="eastAsia" w:ascii="宋体" w:hAnsi="宋体" w:eastAsia="宋体" w:cs="Arial"/>
                      <w:color w:val="auto"/>
                      <w:sz w:val="21"/>
                      <w:szCs w:val="21"/>
                    </w:rPr>
                    <w:t>可生成并打印用药指导单，并可自定义维护用药指导单的内容。</w:t>
                  </w:r>
                </w:p>
              </w:tc>
            </w:tr>
            <w:tr w14:paraId="301E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77478DD7">
                  <w:pPr>
                    <w:pStyle w:val="32"/>
                    <w:spacing w:line="360" w:lineRule="auto"/>
                    <w:ind w:left="0"/>
                    <w:contextualSpacing w:val="0"/>
                    <w:jc w:val="center"/>
                    <w:rPr>
                      <w:rFonts w:hint="eastAsia" w:ascii="宋体" w:hAnsi="宋体" w:eastAsia="宋体" w:cs="宋体"/>
                      <w:szCs w:val="21"/>
                    </w:rPr>
                  </w:pPr>
                  <w:r>
                    <w:rPr>
                      <w:rFonts w:hint="eastAsia" w:ascii="宋体" w:hAnsi="宋体" w:eastAsia="宋体" w:cs="宋体"/>
                      <w:szCs w:val="21"/>
                    </w:rPr>
                    <w:t>5</w:t>
                  </w:r>
                </w:p>
              </w:tc>
              <w:tc>
                <w:tcPr>
                  <w:tcW w:w="1770" w:type="dxa"/>
                  <w:vAlign w:val="center"/>
                </w:tcPr>
                <w:p w14:paraId="32FE6AA9">
                  <w:pPr>
                    <w:spacing w:line="320" w:lineRule="exact"/>
                    <w:jc w:val="center"/>
                    <w:rPr>
                      <w:rFonts w:hint="eastAsia" w:ascii="宋体" w:hAnsi="宋体" w:eastAsia="宋体" w:cs="Times New Roman"/>
                      <w:szCs w:val="21"/>
                    </w:rPr>
                  </w:pPr>
                  <w:r>
                    <w:rPr>
                      <w:rFonts w:hint="eastAsia" w:ascii="宋体" w:hAnsi="宋体" w:eastAsia="宋体" w:cs="Times New Roman"/>
                      <w:szCs w:val="21"/>
                    </w:rPr>
                    <w:t>审查提示屏蔽</w:t>
                  </w:r>
                </w:p>
                <w:p w14:paraId="7BD084A7">
                  <w:pPr>
                    <w:spacing w:line="320" w:lineRule="exact"/>
                    <w:jc w:val="center"/>
                    <w:rPr>
                      <w:rFonts w:hint="eastAsia" w:ascii="宋体" w:hAnsi="宋体" w:eastAsia="宋体" w:cs="Times New Roman"/>
                      <w:szCs w:val="21"/>
                    </w:rPr>
                  </w:pPr>
                  <w:r>
                    <w:rPr>
                      <w:rFonts w:hint="eastAsia" w:ascii="宋体" w:hAnsi="宋体" w:eastAsia="宋体" w:cs="Times New Roman"/>
                      <w:szCs w:val="21"/>
                    </w:rPr>
                    <w:t>功能</w:t>
                  </w:r>
                </w:p>
              </w:tc>
              <w:tc>
                <w:tcPr>
                  <w:tcW w:w="6975" w:type="dxa"/>
                  <w:vAlign w:val="center"/>
                </w:tcPr>
                <w:p w14:paraId="01693BD6">
                  <w:pPr>
                    <w:spacing w:line="320" w:lineRule="exact"/>
                    <w:jc w:val="left"/>
                    <w:rPr>
                      <w:rFonts w:hint="eastAsia" w:ascii="宋体" w:hAnsi="宋体" w:eastAsia="宋体" w:cs="Arial"/>
                      <w:bCs/>
                      <w:szCs w:val="21"/>
                    </w:rPr>
                  </w:pPr>
                  <w:r>
                    <w:rPr>
                      <w:rFonts w:hint="eastAsia" w:ascii="宋体" w:hAnsi="宋体" w:eastAsia="宋体" w:cs="Arial"/>
                      <w:bCs/>
                      <w:szCs w:val="21"/>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14:paraId="3125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2F4C86B9">
                  <w:pPr>
                    <w:pStyle w:val="32"/>
                    <w:spacing w:line="360" w:lineRule="auto"/>
                    <w:ind w:left="0"/>
                    <w:contextualSpacing w:val="0"/>
                    <w:jc w:val="center"/>
                    <w:rPr>
                      <w:rFonts w:hint="eastAsia" w:ascii="宋体" w:hAnsi="宋体" w:eastAsia="宋体" w:cs="宋体"/>
                      <w:szCs w:val="21"/>
                    </w:rPr>
                  </w:pPr>
                  <w:r>
                    <w:rPr>
                      <w:rFonts w:hint="eastAsia" w:ascii="宋体" w:hAnsi="宋体" w:eastAsia="宋体" w:cs="宋体"/>
                      <w:szCs w:val="21"/>
                    </w:rPr>
                    <w:t>6</w:t>
                  </w:r>
                </w:p>
              </w:tc>
              <w:tc>
                <w:tcPr>
                  <w:tcW w:w="1770" w:type="dxa"/>
                  <w:vAlign w:val="center"/>
                </w:tcPr>
                <w:p w14:paraId="4120C625">
                  <w:pPr>
                    <w:spacing w:line="320" w:lineRule="exact"/>
                    <w:jc w:val="center"/>
                    <w:rPr>
                      <w:rFonts w:hint="eastAsia" w:ascii="宋体" w:hAnsi="宋体" w:eastAsia="宋体" w:cs="Times New Roman"/>
                      <w:szCs w:val="21"/>
                    </w:rPr>
                  </w:pPr>
                  <w:r>
                    <w:rPr>
                      <w:rFonts w:hint="eastAsia" w:ascii="宋体" w:hAnsi="宋体" w:eastAsia="宋体" w:cs="Times New Roman"/>
                      <w:szCs w:val="21"/>
                    </w:rPr>
                    <w:t>审查规则自定义功能（医院专家知识库）</w:t>
                  </w:r>
                </w:p>
              </w:tc>
              <w:tc>
                <w:tcPr>
                  <w:tcW w:w="6975" w:type="dxa"/>
                  <w:vAlign w:val="center"/>
                </w:tcPr>
                <w:p w14:paraId="2EBC49E3">
                  <w:pPr>
                    <w:pStyle w:val="32"/>
                    <w:numPr>
                      <w:ilvl w:val="0"/>
                      <w:numId w:val="3"/>
                    </w:numPr>
                    <w:spacing w:line="320" w:lineRule="exact"/>
                    <w:ind w:left="0" w:hanging="420"/>
                    <w:contextualSpacing w:val="0"/>
                    <w:jc w:val="left"/>
                    <w:rPr>
                      <w:rFonts w:hint="eastAsia" w:ascii="宋体" w:hAnsi="宋体" w:eastAsia="宋体" w:cs="Arial"/>
                      <w:bCs/>
                      <w:szCs w:val="21"/>
                    </w:rPr>
                  </w:pPr>
                  <w:r>
                    <w:rPr>
                      <w:rFonts w:hint="eastAsia" w:ascii="宋体" w:hAnsi="宋体" w:eastAsia="宋体" w:cs="Arial"/>
                      <w:bCs/>
                      <w:szCs w:val="21"/>
                    </w:rPr>
                    <w:t>系统可以提供多种自定义方式：</w:t>
                  </w:r>
                </w:p>
                <w:p w14:paraId="091572B3">
                  <w:pPr>
                    <w:spacing w:line="320" w:lineRule="exact"/>
                    <w:jc w:val="left"/>
                    <w:rPr>
                      <w:rFonts w:hint="eastAsia" w:ascii="宋体" w:hAnsi="宋体" w:eastAsia="宋体" w:cs="Arial"/>
                      <w:bCs/>
                      <w:szCs w:val="21"/>
                    </w:rPr>
                  </w:pPr>
                  <w:r>
                    <w:rPr>
                      <w:rFonts w:hint="eastAsia" w:ascii="宋体" w:hAnsi="宋体" w:eastAsia="宋体" w:cs="Arial"/>
                      <w:bCs/>
                      <w:szCs w:val="21"/>
                    </w:rPr>
                    <w:t>（1）基于系统审查数据自定义方式，节省药师工作量。</w:t>
                  </w:r>
                </w:p>
                <w:p w14:paraId="1AF404B1">
                  <w:pPr>
                    <w:spacing w:line="320" w:lineRule="exact"/>
                    <w:jc w:val="left"/>
                    <w:rPr>
                      <w:rFonts w:hint="eastAsia" w:ascii="宋体" w:hAnsi="宋体" w:eastAsia="宋体" w:cs="Arial"/>
                      <w:bCs/>
                      <w:szCs w:val="21"/>
                    </w:rPr>
                  </w:pPr>
                  <w:r>
                    <w:rPr>
                      <w:rFonts w:hint="eastAsia" w:ascii="宋体" w:hAnsi="宋体" w:eastAsia="宋体" w:cs="Arial"/>
                      <w:bCs/>
                      <w:szCs w:val="21"/>
                    </w:rPr>
                    <w:t>（2）可完全由用户新建审查规则包括审查要素和审查逻辑。</w:t>
                  </w:r>
                </w:p>
                <w:p w14:paraId="5B496DB7">
                  <w:pPr>
                    <w:spacing w:line="320" w:lineRule="exact"/>
                    <w:ind w:firstLine="420" w:firstLineChars="200"/>
                    <w:jc w:val="left"/>
                    <w:rPr>
                      <w:rFonts w:hint="eastAsia" w:ascii="宋体" w:hAnsi="宋体" w:eastAsia="宋体" w:cs="Arial"/>
                      <w:bCs/>
                      <w:szCs w:val="21"/>
                    </w:rPr>
                  </w:pPr>
                  <w:r>
                    <w:rPr>
                      <w:rFonts w:hint="eastAsia" w:ascii="宋体" w:hAnsi="宋体" w:eastAsia="宋体" w:cs="Arial"/>
                      <w:bCs/>
                      <w:szCs w:val="21"/>
                    </w:rPr>
                    <w:t>用户可自定义药品警示、拦截规则，被拦截的问题处方必须返回修改，否则不可进行下一步操作。</w:t>
                  </w:r>
                </w:p>
                <w:p w14:paraId="5732ED87">
                  <w:pPr>
                    <w:pStyle w:val="32"/>
                    <w:numPr>
                      <w:ilvl w:val="0"/>
                      <w:numId w:val="3"/>
                    </w:numPr>
                    <w:spacing w:line="320" w:lineRule="exact"/>
                    <w:ind w:left="0" w:hanging="420"/>
                    <w:contextualSpacing w:val="0"/>
                    <w:jc w:val="left"/>
                    <w:rPr>
                      <w:rFonts w:hint="eastAsia" w:ascii="宋体" w:hAnsi="宋体" w:eastAsia="宋体" w:cs="Arial"/>
                      <w:bCs/>
                      <w:szCs w:val="21"/>
                    </w:rPr>
                  </w:pPr>
                  <w:r>
                    <w:rPr>
                      <w:rFonts w:hint="eastAsia" w:ascii="宋体" w:hAnsi="宋体" w:eastAsia="宋体" w:cs="Arial"/>
                      <w:bCs/>
                      <w:szCs w:val="21"/>
                    </w:rPr>
                    <w:t>其中部分审查项目可支持以下功能：</w:t>
                  </w:r>
                </w:p>
                <w:p w14:paraId="288A66AD">
                  <w:pPr>
                    <w:pStyle w:val="32"/>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（1）剂量：可显示某个药品在本院近一个月医嘱用量统计，查看不同科室的剂量使用情况。用户只需维护药品一种给药单位的剂量审查规则，系统可自动将规则匹配到该药品其余给药单位。</w:t>
                  </w:r>
                </w:p>
                <w:p w14:paraId="286DA29C">
                  <w:pPr>
                    <w:pStyle w:val="32"/>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2）超多日用量可对门、急诊处方药品、麻醉药品和精一药品超多日用量天数进行设置，可针对慢病（区分医保、自费）、非慢病处方、特殊患者分别设置用药天数，并可根据超出天数设置不同的警示级别。支持用户维护参与联合审查的历史处方时间范围。针对特定药品可设置是否拆零参与审查。</w:t>
                  </w:r>
                </w:p>
                <w:p w14:paraId="2C6CF0BD">
                  <w:pPr>
                    <w:pStyle w:val="32"/>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（3）中药饮片剂量：支持以系统数据高值和低值的整数倍分别自定义设置中药饮片剂量标准，支持针对医生、科室设置中药饮片剂量规则。</w:t>
                  </w:r>
                </w:p>
                <w:p w14:paraId="60F3FA4D">
                  <w:pPr>
                    <w:pStyle w:val="32"/>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（4）体外注射剂配伍：可设置小剂量胰岛素不参与体外配伍审查，具体剂量标准可由用户自行设置。</w:t>
                  </w:r>
                </w:p>
                <w:p w14:paraId="151C4F59">
                  <w:pPr>
                    <w:pStyle w:val="32"/>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（5）药品专项管控：可设置应激性溃疡风险的预警规则；支持设置可预防使用质子泵抑制剂的手术、质子泵抑制剂药品及术后质子泵抑制剂用药疗程。</w:t>
                  </w:r>
                </w:p>
                <w:p w14:paraId="6EBBEC5A">
                  <w:pPr>
                    <w:pStyle w:val="32"/>
                    <w:numPr>
                      <w:ilvl w:val="0"/>
                      <w:numId w:val="3"/>
                    </w:numPr>
                    <w:spacing w:line="320" w:lineRule="exact"/>
                    <w:ind w:left="0" w:hanging="420"/>
                    <w:contextualSpacing w:val="0"/>
                    <w:jc w:val="left"/>
                    <w:rPr>
                      <w:rFonts w:hint="eastAsia" w:ascii="宋体" w:hAnsi="宋体" w:eastAsia="宋体" w:cs="Arial"/>
                      <w:bCs/>
                      <w:szCs w:val="21"/>
                    </w:rPr>
                  </w:pPr>
                  <w:r>
                    <w:rPr>
                      <w:rFonts w:hint="eastAsia" w:ascii="宋体" w:hAnsi="宋体" w:eastAsia="宋体" w:cs="Arial"/>
                      <w:bCs/>
                      <w:szCs w:val="21"/>
                    </w:rPr>
                    <w:t>规则复制功能：系统支持将其它药品已有的自定义规则分模块复制到被选择的药品上。</w:t>
                  </w:r>
                </w:p>
                <w:p w14:paraId="543D4932">
                  <w:pPr>
                    <w:pStyle w:val="32"/>
                    <w:numPr>
                      <w:ilvl w:val="0"/>
                      <w:numId w:val="3"/>
                    </w:numPr>
                    <w:spacing w:line="320" w:lineRule="exact"/>
                    <w:ind w:left="0" w:hanging="420"/>
                    <w:contextualSpacing w:val="0"/>
                    <w:jc w:val="left"/>
                    <w:rPr>
                      <w:rFonts w:hint="eastAsia" w:ascii="宋体" w:hAnsi="宋体" w:eastAsia="宋体" w:cs="Arial"/>
                      <w:bCs/>
                      <w:szCs w:val="21"/>
                    </w:rPr>
                  </w:pPr>
                  <w:r>
                    <w:rPr>
                      <w:rFonts w:hint="eastAsia" w:ascii="宋体" w:hAnsi="宋体" w:eastAsia="宋体" w:cs="Arial"/>
                      <w:bCs/>
                      <w:szCs w:val="21"/>
                    </w:rPr>
                    <w:t>豁免对象：可根据药品、医生、科室等条件设置特定对象不参与某些模块审查，并可按照模块查看对各种豁免情况的统计。</w:t>
                  </w:r>
                </w:p>
                <w:p w14:paraId="4CCAB7B0">
                  <w:pPr>
                    <w:pStyle w:val="32"/>
                    <w:numPr>
                      <w:ilvl w:val="0"/>
                      <w:numId w:val="3"/>
                    </w:numPr>
                    <w:spacing w:line="320" w:lineRule="exact"/>
                    <w:ind w:left="0" w:hanging="420"/>
                    <w:contextualSpacing w:val="0"/>
                    <w:jc w:val="left"/>
                    <w:rPr>
                      <w:rFonts w:hint="eastAsia" w:ascii="宋体" w:hAnsi="宋体" w:eastAsia="宋体" w:cs="Arial"/>
                      <w:bCs/>
                      <w:szCs w:val="21"/>
                    </w:rPr>
                  </w:pPr>
                  <w:r>
                    <w:rPr>
                      <w:rFonts w:hint="eastAsia" w:ascii="宋体" w:hAnsi="宋体" w:eastAsia="宋体" w:cs="Arial"/>
                      <w:bCs/>
                      <w:szCs w:val="21"/>
                    </w:rPr>
                    <w:t xml:space="preserve">自定义规则查询：可查询药品、科室以及各模块的自定义规则。 </w:t>
                  </w:r>
                </w:p>
              </w:tc>
            </w:tr>
            <w:tr w14:paraId="50F7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vAlign w:val="center"/>
                </w:tcPr>
                <w:p w14:paraId="2A4CD52B">
                  <w:pPr>
                    <w:pStyle w:val="32"/>
                    <w:spacing w:line="360" w:lineRule="auto"/>
                    <w:ind w:left="0" w:firstLine="210" w:firstLineChars="100"/>
                    <w:contextualSpacing w:val="0"/>
                    <w:rPr>
                      <w:rFonts w:hint="eastAsia" w:ascii="宋体" w:hAnsi="宋体" w:eastAsia="宋体" w:cs="Times New Roman"/>
                      <w:szCs w:val="21"/>
                    </w:rPr>
                  </w:pPr>
                  <w:r>
                    <w:rPr>
                      <w:rFonts w:hint="eastAsia" w:ascii="宋体" w:hAnsi="宋体" w:eastAsia="宋体" w:cs="Times New Roman"/>
                      <w:szCs w:val="21"/>
                    </w:rPr>
                    <w:t>7</w:t>
                  </w:r>
                </w:p>
              </w:tc>
              <w:tc>
                <w:tcPr>
                  <w:tcW w:w="1770" w:type="dxa"/>
                  <w:vAlign w:val="center"/>
                </w:tcPr>
                <w:p w14:paraId="2FE3B99E">
                  <w:pPr>
                    <w:spacing w:line="400" w:lineRule="exact"/>
                    <w:jc w:val="center"/>
                    <w:rPr>
                      <w:rFonts w:hint="eastAsia" w:ascii="宋体" w:hAnsi="宋体" w:eastAsia="宋体" w:cs="Times New Roman"/>
                      <w:szCs w:val="21"/>
                    </w:rPr>
                  </w:pPr>
                  <w:r>
                    <w:rPr>
                      <w:rFonts w:hint="eastAsia" w:ascii="宋体" w:hAnsi="宋体" w:eastAsia="宋体" w:cs="Times New Roman"/>
                      <w:szCs w:val="21"/>
                    </w:rPr>
                    <w:t>统计分析功能</w:t>
                  </w:r>
                </w:p>
              </w:tc>
              <w:tc>
                <w:tcPr>
                  <w:tcW w:w="6975" w:type="dxa"/>
                  <w:vAlign w:val="center"/>
                </w:tcPr>
                <w:p w14:paraId="1E0B30C7">
                  <w:pPr>
                    <w:pStyle w:val="32"/>
                    <w:numPr>
                      <w:ilvl w:val="0"/>
                      <w:numId w:val="4"/>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7.1问题处方（医嘱）保存、查询，以及不合理问题统计分析。</w:t>
                  </w:r>
                </w:p>
                <w:p w14:paraId="27E9E1C2">
                  <w:pPr>
                    <w:pStyle w:val="32"/>
                    <w:numPr>
                      <w:ilvl w:val="0"/>
                      <w:numId w:val="4"/>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7.2提供不合理问题评估功能，便于药师在做回顾性分析时对已评估的问题做记录。按需生成统计分析报告。</w:t>
                  </w:r>
                </w:p>
                <w:p w14:paraId="444598AC">
                  <w:pPr>
                    <w:pStyle w:val="32"/>
                    <w:numPr>
                      <w:ilvl w:val="0"/>
                      <w:numId w:val="4"/>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7.3用药理由统计。</w:t>
                  </w:r>
                </w:p>
                <w:p w14:paraId="265D7366">
                  <w:pPr>
                    <w:pStyle w:val="32"/>
                    <w:numPr>
                      <w:ilvl w:val="0"/>
                      <w:numId w:val="4"/>
                    </w:numPr>
                    <w:spacing w:line="320" w:lineRule="exact"/>
                    <w:ind w:left="0"/>
                    <w:contextualSpacing w:val="0"/>
                    <w:jc w:val="left"/>
                    <w:rPr>
                      <w:rFonts w:hint="eastAsia" w:ascii="宋体" w:hAnsi="宋体" w:eastAsia="宋体" w:cs="Arial"/>
                      <w:bCs/>
                      <w:szCs w:val="21"/>
                    </w:rPr>
                  </w:pPr>
                </w:p>
              </w:tc>
            </w:tr>
            <w:tr w14:paraId="3B43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AEC486A">
                  <w:pPr>
                    <w:pStyle w:val="32"/>
                    <w:spacing w:line="360" w:lineRule="auto"/>
                    <w:ind w:left="0" w:firstLine="210" w:firstLineChars="100"/>
                    <w:contextualSpacing w:val="0"/>
                    <w:rPr>
                      <w:rFonts w:hint="eastAsia" w:ascii="宋体" w:hAnsi="宋体" w:eastAsia="宋体" w:cs="Times New Roman"/>
                      <w:szCs w:val="21"/>
                    </w:rPr>
                  </w:pPr>
                  <w:r>
                    <w:rPr>
                      <w:rFonts w:hint="eastAsia" w:ascii="宋体" w:hAnsi="宋体" w:eastAsia="宋体" w:cs="Times New Roman"/>
                      <w:szCs w:val="21"/>
                    </w:rPr>
                    <w:t>8</w:t>
                  </w:r>
                </w:p>
              </w:tc>
              <w:tc>
                <w:tcPr>
                  <w:tcW w:w="1770" w:type="dxa"/>
                  <w:vAlign w:val="center"/>
                </w:tcPr>
                <w:p w14:paraId="55FB25C4">
                  <w:pPr>
                    <w:spacing w:line="360" w:lineRule="auto"/>
                    <w:jc w:val="center"/>
                    <w:rPr>
                      <w:rFonts w:hint="eastAsia" w:ascii="宋体" w:hAnsi="宋体" w:eastAsia="宋体" w:cs="Times New Roman"/>
                      <w:szCs w:val="21"/>
                    </w:rPr>
                  </w:pPr>
                  <w:r>
                    <w:rPr>
                      <w:rFonts w:hint="eastAsia" w:ascii="宋体" w:hAnsi="宋体" w:eastAsia="宋体" w:cs="Times New Roman"/>
                      <w:szCs w:val="21"/>
                    </w:rPr>
                    <w:t>通讯功能</w:t>
                  </w:r>
                </w:p>
              </w:tc>
              <w:tc>
                <w:tcPr>
                  <w:tcW w:w="6975" w:type="dxa"/>
                  <w:vAlign w:val="center"/>
                </w:tcPr>
                <w:p w14:paraId="5F66CDB6">
                  <w:pPr>
                    <w:spacing w:line="320" w:lineRule="exact"/>
                    <w:jc w:val="left"/>
                    <w:rPr>
                      <w:rFonts w:hint="eastAsia" w:ascii="宋体" w:hAnsi="宋体" w:eastAsia="宋体" w:cs="Arial"/>
                      <w:szCs w:val="21"/>
                    </w:rPr>
                  </w:pPr>
                  <w:r>
                    <w:rPr>
                      <w:rFonts w:hint="eastAsia" w:ascii="宋体" w:hAnsi="宋体" w:eastAsia="宋体" w:cs="Arial"/>
                      <w:szCs w:val="21"/>
                    </w:rPr>
                    <w:t>系统应提供药师和医生的在线沟通平台，提供截图、发送图片、文件传输、消息撤回、消息已读提示功能。</w:t>
                  </w:r>
                </w:p>
              </w:tc>
            </w:tr>
          </w:tbl>
          <w:p w14:paraId="79ED7191">
            <w:pPr>
              <w:pStyle w:val="32"/>
              <w:spacing w:line="380" w:lineRule="exact"/>
              <w:ind w:left="0"/>
              <w:rPr>
                <w:rFonts w:hint="eastAsia" w:ascii="宋体" w:hAnsi="宋体" w:cs="Arial"/>
                <w:szCs w:val="21"/>
              </w:rPr>
            </w:pPr>
          </w:p>
        </w:tc>
      </w:tr>
      <w:tr w14:paraId="71E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0" w:type="dxa"/>
            <w:shd w:val="clear" w:color="auto" w:fill="auto"/>
            <w:vAlign w:val="center"/>
          </w:tcPr>
          <w:tbl>
            <w:tblPr>
              <w:tblStyle w:val="17"/>
              <w:tblpPr w:leftFromText="180" w:rightFromText="180" w:vertAnchor="page" w:horzAnchor="margin" w:tblpX="-118" w:tblpY="2053"/>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530"/>
              <w:gridCol w:w="7215"/>
            </w:tblGrid>
            <w:tr w14:paraId="3532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gridSpan w:val="3"/>
                  <w:vAlign w:val="center"/>
                </w:tcPr>
                <w:p w14:paraId="675B50A8">
                  <w:pPr>
                    <w:spacing w:line="360" w:lineRule="auto"/>
                    <w:rPr>
                      <w:rFonts w:hint="eastAsia" w:ascii="宋体" w:hAnsi="宋体" w:eastAsia="宋体" w:cs="Arial"/>
                      <w:b/>
                      <w:bCs/>
                      <w:szCs w:val="21"/>
                    </w:rPr>
                  </w:pPr>
                  <w:r>
                    <w:rPr>
                      <w:rFonts w:hint="eastAsia" w:ascii="宋体" w:hAnsi="宋体" w:eastAsia="宋体" w:cs="Arial"/>
                      <w:b/>
                      <w:bCs/>
                      <w:szCs w:val="21"/>
                    </w:rPr>
                    <w:t>处方点评功能要求</w:t>
                  </w:r>
                </w:p>
              </w:tc>
            </w:tr>
            <w:tr w14:paraId="4A29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5E05F649">
                  <w:pPr>
                    <w:pStyle w:val="32"/>
                    <w:tabs>
                      <w:tab w:val="center" w:pos="364"/>
                    </w:tabs>
                    <w:spacing w:line="360" w:lineRule="auto"/>
                    <w:ind w:left="-289"/>
                    <w:contextualSpacing w:val="0"/>
                    <w:jc w:val="center"/>
                    <w:rPr>
                      <w:rFonts w:hint="eastAsia" w:ascii="宋体" w:hAnsi="宋体" w:eastAsia="宋体" w:cs="Times New Roman"/>
                      <w:szCs w:val="21"/>
                    </w:rPr>
                  </w:pPr>
                  <w:r>
                    <w:rPr>
                      <w:rFonts w:hint="eastAsia" w:ascii="宋体" w:hAnsi="宋体" w:eastAsia="宋体" w:cs="Times New Roman"/>
                      <w:szCs w:val="21"/>
                    </w:rPr>
                    <w:t xml:space="preserve">   1</w:t>
                  </w:r>
                </w:p>
              </w:tc>
              <w:tc>
                <w:tcPr>
                  <w:tcW w:w="1530" w:type="dxa"/>
                  <w:vAlign w:val="center"/>
                </w:tcPr>
                <w:p w14:paraId="25C63540">
                  <w:pPr>
                    <w:spacing w:line="360" w:lineRule="auto"/>
                    <w:jc w:val="center"/>
                    <w:rPr>
                      <w:rFonts w:hint="eastAsia" w:ascii="宋体" w:hAnsi="宋体" w:eastAsia="宋体" w:cs="Times New Roman"/>
                      <w:szCs w:val="21"/>
                    </w:rPr>
                  </w:pPr>
                  <w:r>
                    <w:rPr>
                      <w:rFonts w:ascii="宋体" w:hAnsi="宋体" w:eastAsia="宋体" w:cs="Times New Roman"/>
                      <w:szCs w:val="21"/>
                    </w:rPr>
                    <w:t>智慧中心</w:t>
                  </w:r>
                </w:p>
              </w:tc>
              <w:tc>
                <w:tcPr>
                  <w:tcW w:w="7215" w:type="dxa"/>
                  <w:vAlign w:val="center"/>
                </w:tcPr>
                <w:p w14:paraId="3FF58CDA">
                  <w:pPr>
                    <w:spacing w:line="320" w:lineRule="exact"/>
                    <w:rPr>
                      <w:rFonts w:hint="eastAsia" w:ascii="宋体" w:hAnsi="宋体" w:eastAsia="宋体" w:cs="Times New Roman"/>
                      <w:b/>
                      <w:bCs/>
                      <w:sz w:val="24"/>
                    </w:rPr>
                  </w:pPr>
                  <w:r>
                    <w:rPr>
                      <w:rFonts w:hint="eastAsia" w:ascii="Calibri" w:hAnsi="Calibri" w:eastAsia="宋体" w:cs="Times New Roman"/>
                    </w:rPr>
                    <w:t>系统主页应能显示门诊</w:t>
                  </w:r>
                  <w:r>
                    <w:rPr>
                      <w:rFonts w:ascii="Calibri" w:hAnsi="Calibri" w:eastAsia="宋体" w:cs="Times New Roman"/>
                    </w:rPr>
                    <w:t>/住院点评率、合理率</w:t>
                  </w:r>
                  <w:r>
                    <w:rPr>
                      <w:rFonts w:hint="eastAsia" w:ascii="Calibri" w:hAnsi="Calibri" w:eastAsia="宋体" w:cs="Times New Roman"/>
                    </w:rPr>
                    <w:t>，住</w:t>
                  </w:r>
                  <w:r>
                    <w:rPr>
                      <w:rFonts w:hint="eastAsia" w:ascii="宋体" w:hAnsi="宋体" w:eastAsia="宋体" w:cs="Arial"/>
                    </w:rPr>
                    <w:t>院抗菌药物使用强度、门诊基本药物占比、住院静脉输液使用率等指标。</w:t>
                  </w:r>
                </w:p>
              </w:tc>
            </w:tr>
            <w:tr w14:paraId="56B4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2DADC846">
                  <w:pPr>
                    <w:pStyle w:val="32"/>
                    <w:tabs>
                      <w:tab w:val="center" w:pos="423"/>
                    </w:tabs>
                    <w:spacing w:line="360" w:lineRule="auto"/>
                    <w:ind w:left="-289"/>
                    <w:contextualSpacing w:val="0"/>
                    <w:rPr>
                      <w:rFonts w:hint="eastAsia" w:ascii="宋体" w:hAnsi="宋体" w:eastAsia="宋体" w:cs="Times New Roman"/>
                      <w:szCs w:val="21"/>
                    </w:rPr>
                  </w:pPr>
                  <w:r>
                    <w:rPr>
                      <w:rFonts w:hint="eastAsia" w:ascii="宋体" w:hAnsi="宋体" w:eastAsia="宋体" w:cs="Times New Roman"/>
                      <w:szCs w:val="21"/>
                    </w:rPr>
                    <w:t>10  2</w:t>
                  </w:r>
                </w:p>
              </w:tc>
              <w:tc>
                <w:tcPr>
                  <w:tcW w:w="1530" w:type="dxa"/>
                  <w:vAlign w:val="center"/>
                </w:tcPr>
                <w:p w14:paraId="7EE8F945">
                  <w:pPr>
                    <w:spacing w:line="320" w:lineRule="exact"/>
                    <w:jc w:val="center"/>
                    <w:rPr>
                      <w:rFonts w:hint="eastAsia" w:ascii="宋体" w:hAnsi="宋体" w:eastAsia="宋体" w:cs="Times New Roman"/>
                      <w:szCs w:val="21"/>
                    </w:rPr>
                  </w:pPr>
                  <w:r>
                    <w:rPr>
                      <w:rFonts w:hint="eastAsia" w:ascii="宋体" w:hAnsi="宋体" w:eastAsia="宋体" w:cs="Arial"/>
                      <w:szCs w:val="21"/>
                    </w:rPr>
                    <w:t>读取和查看病人信息</w:t>
                  </w:r>
                </w:p>
              </w:tc>
              <w:tc>
                <w:tcPr>
                  <w:tcW w:w="7215" w:type="dxa"/>
                  <w:vAlign w:val="center"/>
                </w:tcPr>
                <w:p w14:paraId="4AAFD616">
                  <w:pPr>
                    <w:pStyle w:val="5"/>
                    <w:keepNext w:val="0"/>
                    <w:keepLines w:val="0"/>
                    <w:rPr>
                      <w:rFonts w:hint="eastAsia" w:ascii="宋体" w:hAnsi="宋体" w:eastAsia="宋体" w:cs="Arial"/>
                      <w:b/>
                      <w:bCs/>
                      <w:color w:val="auto"/>
                      <w:sz w:val="21"/>
                      <w:szCs w:val="21"/>
                    </w:rPr>
                  </w:pPr>
                  <w:r>
                    <w:rPr>
                      <w:rFonts w:hint="eastAsia" w:ascii="宋体" w:hAnsi="宋体" w:eastAsia="宋体" w:cs="Arial"/>
                      <w:color w:val="auto"/>
                      <w:sz w:val="21"/>
                      <w:szCs w:val="21"/>
                    </w:rPr>
                    <w:t>系统应能筛选患者并查看患者基本信息、医嘱、检查、检验、手术、费用、会诊、病程等信息，同时能提供</w:t>
                  </w:r>
                  <w:r>
                    <w:rPr>
                      <w:rFonts w:ascii="宋体" w:hAnsi="宋体" w:eastAsia="宋体" w:cs="Arial"/>
                      <w:color w:val="auto"/>
                      <w:sz w:val="21"/>
                      <w:szCs w:val="21"/>
                    </w:rPr>
                    <w:t>EMR、PACS、LIS</w:t>
                  </w:r>
                  <w:r>
                    <w:rPr>
                      <w:rFonts w:hint="eastAsia" w:ascii="宋体" w:hAnsi="宋体" w:eastAsia="宋体" w:cs="Arial"/>
                      <w:color w:val="auto"/>
                      <w:sz w:val="21"/>
                      <w:szCs w:val="21"/>
                    </w:rPr>
                    <w:t>超链接功能，帮助药师快速切换。</w:t>
                  </w:r>
                </w:p>
              </w:tc>
            </w:tr>
            <w:tr w14:paraId="7F19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7233CF77">
                  <w:pPr>
                    <w:pStyle w:val="32"/>
                    <w:numPr>
                      <w:ilvl w:val="0"/>
                      <w:numId w:val="5"/>
                    </w:numPr>
                    <w:spacing w:line="360" w:lineRule="auto"/>
                    <w:ind w:left="131"/>
                    <w:contextualSpacing w:val="0"/>
                    <w:rPr>
                      <w:rFonts w:hint="eastAsia" w:ascii="宋体" w:hAnsi="宋体" w:eastAsia="宋体" w:cs="Times New Roman"/>
                      <w:szCs w:val="21"/>
                    </w:rPr>
                  </w:pPr>
                  <w:r>
                    <w:rPr>
                      <w:rFonts w:hint="eastAsia" w:ascii="宋体" w:hAnsi="宋体" w:eastAsia="宋体" w:cs="Times New Roman"/>
                      <w:szCs w:val="21"/>
                    </w:rPr>
                    <w:t xml:space="preserve">   3</w:t>
                  </w:r>
                </w:p>
              </w:tc>
              <w:tc>
                <w:tcPr>
                  <w:tcW w:w="1530" w:type="dxa"/>
                  <w:vAlign w:val="center"/>
                </w:tcPr>
                <w:p w14:paraId="48AAFF4B">
                  <w:pPr>
                    <w:spacing w:line="360" w:lineRule="auto"/>
                    <w:rPr>
                      <w:rFonts w:hint="eastAsia" w:ascii="宋体" w:hAnsi="宋体" w:eastAsia="宋体" w:cs="Times New Roman"/>
                      <w:szCs w:val="21"/>
                    </w:rPr>
                  </w:pPr>
                  <w:r>
                    <w:rPr>
                      <w:rFonts w:hint="eastAsia" w:ascii="宋体" w:hAnsi="宋体" w:eastAsia="宋体" w:cs="Arial"/>
                      <w:szCs w:val="21"/>
                    </w:rPr>
                    <w:t>处方点评</w:t>
                  </w:r>
                </w:p>
              </w:tc>
              <w:tc>
                <w:tcPr>
                  <w:tcW w:w="7215" w:type="dxa"/>
                  <w:vAlign w:val="center"/>
                </w:tcPr>
                <w:p w14:paraId="6310ABD9">
                  <w:pPr>
                    <w:pStyle w:val="5"/>
                    <w:keepNext w:val="0"/>
                    <w:keepLines w:val="0"/>
                    <w:numPr>
                      <w:ilvl w:val="0"/>
                      <w:numId w:val="2"/>
                    </w:numPr>
                    <w:spacing w:before="0" w:after="0" w:line="320" w:lineRule="exact"/>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系统应结合国家处方点评相关政策要求，实现对处方（医嘱）电子化评价功能。应能对处方（医嘱）用药进行剂量审查、给药途径审查、相互作用审查、体外注射剂配伍审查、配伍浓度审查、钾离子监测、</w:t>
                  </w:r>
                  <w:r>
                    <w:rPr>
                      <w:rFonts w:ascii="宋体" w:hAnsi="宋体" w:eastAsia="宋体" w:cs="Arial"/>
                      <w:color w:val="auto"/>
                      <w:sz w:val="21"/>
                      <w:szCs w:val="21"/>
                    </w:rPr>
                    <w:t>TPN处方审查、门诊输液审查、禁忌症审查、不良反应审查、特殊人群用药审查、重复用药审查、适应症审查、</w:t>
                  </w:r>
                  <w:r>
                    <w:rPr>
                      <w:rFonts w:hint="eastAsia" w:ascii="宋体" w:hAnsi="宋体" w:eastAsia="宋体" w:cs="Arial"/>
                      <w:color w:val="auto"/>
                      <w:sz w:val="21"/>
                      <w:szCs w:val="21"/>
                    </w:rPr>
                    <w:t>药物过敏审查、药物检验值审查、规范性审查、医保审查、越权用药审查、围术期用药审查，并提供审查规则自定义功能，使得点评结果更加符合医院实际用药情况。</w:t>
                  </w:r>
                </w:p>
                <w:p w14:paraId="119D883D">
                  <w:pPr>
                    <w:pStyle w:val="5"/>
                    <w:keepNext w:val="0"/>
                    <w:keepLines w:val="0"/>
                    <w:numPr>
                      <w:ilvl w:val="0"/>
                      <w:numId w:val="2"/>
                    </w:numPr>
                    <w:spacing w:before="0" w:after="0" w:line="320" w:lineRule="exact"/>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p>
                <w:p w14:paraId="63804EEB">
                  <w:pPr>
                    <w:pStyle w:val="5"/>
                    <w:keepNext w:val="0"/>
                    <w:keepLines w:val="0"/>
                    <w:numPr>
                      <w:ilvl w:val="0"/>
                      <w:numId w:val="2"/>
                    </w:numPr>
                    <w:spacing w:before="0" w:after="0" w:line="320" w:lineRule="exact"/>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系统应提供双盲点评设置、医生处理点评结果逾期设置、</w:t>
                  </w:r>
                  <w:r>
                    <w:rPr>
                      <w:rFonts w:hint="eastAsia" w:ascii="Calibri" w:hAnsi="Calibri" w:eastAsia="宋体"/>
                      <w:color w:val="auto"/>
                      <w:sz w:val="21"/>
                      <w:szCs w:val="21"/>
                    </w:rPr>
                    <w:t>增补处方或病人</w:t>
                  </w:r>
                  <w:r>
                    <w:rPr>
                      <w:rFonts w:hint="eastAsia" w:ascii="宋体" w:hAnsi="宋体" w:eastAsia="宋体" w:cs="Arial"/>
                      <w:color w:val="auto"/>
                      <w:sz w:val="21"/>
                      <w:szCs w:val="21"/>
                    </w:rPr>
                    <w:t xml:space="preserve">、高亮显示被点评药品功能，方便药师点评。 </w:t>
                  </w:r>
                </w:p>
                <w:p w14:paraId="4C608781">
                  <w:pPr>
                    <w:pStyle w:val="5"/>
                    <w:keepNext w:val="0"/>
                    <w:keepLines w:val="0"/>
                    <w:numPr>
                      <w:ilvl w:val="0"/>
                      <w:numId w:val="2"/>
                    </w:numPr>
                    <w:spacing w:before="0" w:after="0" w:line="320" w:lineRule="exact"/>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系统应能自定义点评模板及点评点，实现个性化点评需求。</w:t>
                  </w:r>
                </w:p>
                <w:p w14:paraId="2E3B3C8D">
                  <w:pPr>
                    <w:pStyle w:val="5"/>
                    <w:keepNext w:val="0"/>
                    <w:keepLines w:val="0"/>
                    <w:numPr>
                      <w:ilvl w:val="0"/>
                      <w:numId w:val="2"/>
                    </w:numPr>
                    <w:spacing w:before="0" w:after="0" w:line="320" w:lineRule="exact"/>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系统应能自动生成住院患者用药联用图、时序图，并支持自定义。住院患者时序图包含患者体征、用药、手术和检验信息等内容。</w:t>
                  </w:r>
                </w:p>
                <w:p w14:paraId="318EBB26">
                  <w:pPr>
                    <w:pStyle w:val="5"/>
                    <w:keepNext w:val="0"/>
                    <w:keepLines w:val="0"/>
                    <w:spacing w:before="0" w:after="0" w:line="320" w:lineRule="exact"/>
                    <w:rPr>
                      <w:rFonts w:hint="eastAsia" w:ascii="宋体" w:hAnsi="宋体" w:eastAsia="宋体" w:cs="Arial"/>
                      <w:b/>
                      <w:color w:val="auto"/>
                      <w:sz w:val="21"/>
                      <w:szCs w:val="21"/>
                    </w:rPr>
                  </w:pPr>
                  <w:r>
                    <w:rPr>
                      <w:rFonts w:hint="eastAsia" w:ascii="宋体" w:hAnsi="宋体" w:eastAsia="宋体" w:cs="Arial"/>
                      <w:color w:val="auto"/>
                      <w:sz w:val="21"/>
                      <w:szCs w:val="21"/>
                    </w:rPr>
                    <w:t>3.10系统应能自动生成点评相关报表及任务完成情况等管理报表。</w:t>
                  </w:r>
                </w:p>
                <w:p w14:paraId="4BAE770C">
                  <w:pPr>
                    <w:spacing w:line="320" w:lineRule="exact"/>
                    <w:rPr>
                      <w:rFonts w:hint="eastAsia" w:eastAsia="宋体" w:cs="Times New Roman" w:asciiTheme="minorEastAsia" w:hAnsiTheme="minorEastAsia"/>
                    </w:rPr>
                  </w:pPr>
                  <w:r>
                    <w:rPr>
                      <w:rFonts w:hint="eastAsia" w:ascii="宋体" w:hAnsi="宋体" w:eastAsia="宋体" w:cs="Arial"/>
                      <w:szCs w:val="21"/>
                    </w:rPr>
                    <w:t>3.11系</w:t>
                  </w:r>
                  <w:r>
                    <w:rPr>
                      <w:rFonts w:hint="eastAsia" w:ascii="Calibri" w:hAnsi="Calibri" w:eastAsia="宋体" w:cs="Times New Roman"/>
                    </w:rPr>
                    <w:t>统应包含全处方点评、全医嘱点评、相关专项点评，如门急诊</w:t>
                  </w:r>
                  <w:r>
                    <w:rPr>
                      <w:rFonts w:ascii="Calibri" w:hAnsi="Calibri" w:eastAsia="宋体" w:cs="Times New Roman"/>
                    </w:rPr>
                    <w:t>/</w:t>
                  </w:r>
                  <w:r>
                    <w:rPr>
                      <w:rFonts w:hint="eastAsia" w:ascii="Calibri" w:hAnsi="Calibri" w:eastAsia="宋体" w:cs="Times New Roman"/>
                    </w:rPr>
                    <w:t>住院抗菌药物专项点评、围手术期抗菌药物专项点评、门急诊</w:t>
                  </w:r>
                  <w:r>
                    <w:rPr>
                      <w:rFonts w:ascii="Calibri" w:hAnsi="Calibri" w:eastAsia="宋体" w:cs="Times New Roman"/>
                    </w:rPr>
                    <w:t>/</w:t>
                  </w:r>
                  <w:r>
                    <w:rPr>
                      <w:rFonts w:hint="eastAsia" w:ascii="Calibri" w:hAnsi="Calibri" w:eastAsia="宋体" w:cs="Times New Roman"/>
                    </w:rPr>
                    <w:t>住院专项药品点评、抗肿瘤药物专项点评、特殊级抗菌药物专项点评、</w:t>
                  </w:r>
                  <w:r>
                    <w:rPr>
                      <w:rFonts w:ascii="Calibri" w:hAnsi="Calibri" w:eastAsia="宋体" w:cs="Times New Roman"/>
                    </w:rPr>
                    <w:t>碳青霉烯类及</w:t>
                  </w:r>
                  <w:r>
                    <w:rPr>
                      <w:rFonts w:hint="eastAsia" w:ascii="Calibri" w:hAnsi="Calibri" w:eastAsia="宋体" w:cs="Times New Roman"/>
                    </w:rPr>
                    <w:t>替加环素专项点评、重点监控药品专项点评、住院患者静脉规范输液专项点评、住院病人人血白蛋白专项点评、中药饮片专项点评、中药注射剂/中成药处方/医嘱专项点评、</w:t>
                  </w:r>
                  <w:r>
                    <w:rPr>
                      <w:rFonts w:ascii="Calibri" w:hAnsi="Calibri" w:eastAsia="宋体" w:cs="Times New Roman"/>
                    </w:rPr>
                    <w:t>用药排名医嘱点评</w:t>
                  </w:r>
                  <w:r>
                    <w:rPr>
                      <w:rFonts w:hint="eastAsia" w:ascii="Calibri" w:hAnsi="Calibri" w:eastAsia="宋体" w:cs="Times New Roman"/>
                    </w:rPr>
                    <w:t>、出院带药医嘱点评、国家基本药物专项点评、住院病人肠外营养专项点评、</w:t>
                  </w:r>
                  <w:r>
                    <w:rPr>
                      <w:rFonts w:hint="eastAsia" w:eastAsia="宋体" w:asciiTheme="minorEastAsia" w:hAnsiTheme="minorEastAsia" w:cstheme="majorBidi"/>
                    </w:rPr>
                    <w:t>麻精药品处方点评、门（急）诊外延处方点评、外配处方点评等</w:t>
                  </w:r>
                  <w:r>
                    <w:rPr>
                      <w:rFonts w:hint="eastAsia" w:eastAsia="宋体" w:cs="Times New Roman" w:asciiTheme="minorEastAsia" w:hAnsiTheme="minorEastAsia"/>
                    </w:rPr>
                    <w:t>。</w:t>
                  </w:r>
                </w:p>
                <w:p w14:paraId="79726AE4">
                  <w:pPr>
                    <w:spacing w:line="320" w:lineRule="exact"/>
                    <w:rPr>
                      <w:rFonts w:hint="eastAsia" w:eastAsia="宋体" w:cs="Times New Roman" w:asciiTheme="minorEastAsia" w:hAnsiTheme="minorEastAsia"/>
                    </w:rPr>
                  </w:pPr>
                  <w:r>
                    <w:rPr>
                      <w:rFonts w:hint="eastAsia" w:eastAsia="宋体" w:cs="Times New Roman" w:asciiTheme="minorEastAsia" w:hAnsiTheme="minorEastAsia"/>
                    </w:rPr>
                    <w:t>3.12 可根据医院个性化需求做成处方点评分析报告（年度、半年、季度）。</w:t>
                  </w:r>
                </w:p>
              </w:tc>
            </w:tr>
            <w:tr w14:paraId="2C34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1F45CEAD">
                  <w:pPr>
                    <w:pStyle w:val="32"/>
                    <w:spacing w:line="360" w:lineRule="auto"/>
                    <w:ind w:left="-289"/>
                    <w:contextualSpacing w:val="0"/>
                    <w:rPr>
                      <w:rFonts w:hint="eastAsia" w:ascii="宋体" w:hAnsi="宋体" w:eastAsia="宋体" w:cs="Times New Roman"/>
                      <w:szCs w:val="21"/>
                    </w:rPr>
                  </w:pPr>
                  <w:r>
                    <w:rPr>
                      <w:rFonts w:hint="eastAsia" w:ascii="宋体" w:hAnsi="宋体" w:eastAsia="宋体" w:cs="Times New Roman"/>
                      <w:szCs w:val="21"/>
                    </w:rPr>
                    <w:t xml:space="preserve">    4</w:t>
                  </w:r>
                </w:p>
              </w:tc>
              <w:tc>
                <w:tcPr>
                  <w:tcW w:w="1530" w:type="dxa"/>
                  <w:vAlign w:val="center"/>
                </w:tcPr>
                <w:p w14:paraId="54167F2A">
                  <w:pPr>
                    <w:spacing w:line="320" w:lineRule="exact"/>
                    <w:jc w:val="center"/>
                    <w:rPr>
                      <w:rFonts w:hint="eastAsia" w:ascii="宋体" w:hAnsi="宋体" w:eastAsia="宋体" w:cs="Times New Roman"/>
                      <w:szCs w:val="21"/>
                    </w:rPr>
                  </w:pPr>
                  <w:r>
                    <w:rPr>
                      <w:rFonts w:hint="eastAsia" w:ascii="宋体" w:hAnsi="宋体" w:eastAsia="宋体" w:cs="Times New Roman"/>
                      <w:szCs w:val="21"/>
                    </w:rPr>
                    <w:t>抗菌药物临床应用监测</w:t>
                  </w:r>
                </w:p>
              </w:tc>
              <w:tc>
                <w:tcPr>
                  <w:tcW w:w="7215" w:type="dxa"/>
                  <w:vAlign w:val="center"/>
                </w:tcPr>
                <w:p w14:paraId="4BF99CEB">
                  <w:pPr>
                    <w:spacing w:line="320" w:lineRule="exact"/>
                    <w:ind w:firstLine="420" w:firstLineChars="200"/>
                    <w:rPr>
                      <w:rFonts w:hint="eastAsia" w:ascii="宋体" w:hAnsi="宋体" w:eastAsia="宋体" w:cs="Arial"/>
                      <w:bCs/>
                      <w:szCs w:val="21"/>
                    </w:rPr>
                  </w:pPr>
                  <w:r>
                    <w:rPr>
                      <w:rFonts w:hint="eastAsia" w:ascii="宋体" w:hAnsi="宋体" w:eastAsia="宋体" w:cs="Arial"/>
                      <w:bCs/>
                      <w:szCs w:val="21"/>
                    </w:rPr>
                    <w:t>系统应根据卫生部《抗菌药物临床应用监测方案》中的相关规定，完成抗菌药物临床应用监测网要求的抗菌药物使用情况统计及上报工作。</w:t>
                  </w:r>
                </w:p>
                <w:p w14:paraId="7E19508F">
                  <w:pPr>
                    <w:spacing w:line="320" w:lineRule="exact"/>
                    <w:ind w:firstLine="420" w:firstLineChars="200"/>
                    <w:rPr>
                      <w:rFonts w:hint="eastAsia" w:ascii="宋体" w:hAnsi="宋体" w:eastAsia="宋体" w:cs="Times New Roman"/>
                      <w:szCs w:val="21"/>
                    </w:rPr>
                  </w:pPr>
                  <w:r>
                    <w:rPr>
                      <w:rFonts w:hint="eastAsia" w:ascii="宋体" w:hAnsi="宋体" w:eastAsia="宋体" w:cs="Arial"/>
                      <w:bCs/>
                      <w:szCs w:val="21"/>
                    </w:rPr>
                    <w:t>系统应提供手术</w:t>
                  </w:r>
                  <w:r>
                    <w:rPr>
                      <w:rFonts w:ascii="宋体" w:hAnsi="宋体" w:eastAsia="宋体" w:cs="Arial"/>
                      <w:bCs/>
                      <w:szCs w:val="21"/>
                    </w:rPr>
                    <w:t>/非手术抗菌药物使用情况调查表、门诊</w:t>
                  </w:r>
                  <w:r>
                    <w:rPr>
                      <w:rFonts w:hint="eastAsia" w:ascii="宋体" w:hAnsi="宋体" w:eastAsia="宋体" w:cs="Arial"/>
                      <w:bCs/>
                      <w:szCs w:val="21"/>
                    </w:rPr>
                    <w:t>/急诊/</w:t>
                  </w:r>
                  <w:r>
                    <w:rPr>
                      <w:rFonts w:ascii="宋体" w:hAnsi="宋体" w:eastAsia="宋体" w:cs="Arial"/>
                      <w:bCs/>
                      <w:szCs w:val="21"/>
                    </w:rPr>
                    <w:t>住院患者抗菌药物使用情况统计报表的离线上报功能，可直接上传文档</w:t>
                  </w:r>
                  <w:r>
                    <w:rPr>
                      <w:rFonts w:hint="eastAsia" w:ascii="宋体" w:hAnsi="宋体" w:eastAsia="宋体" w:cs="Arial"/>
                      <w:bCs/>
                      <w:szCs w:val="21"/>
                    </w:rPr>
                    <w:t>至监测网完成填报工作，避免二次填写。确保数据准确性。</w:t>
                  </w:r>
                </w:p>
              </w:tc>
            </w:tr>
            <w:tr w14:paraId="7E29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76A45B38">
                  <w:pPr>
                    <w:pStyle w:val="32"/>
                    <w:numPr>
                      <w:ilvl w:val="0"/>
                      <w:numId w:val="5"/>
                    </w:numPr>
                    <w:spacing w:line="360" w:lineRule="auto"/>
                    <w:ind w:left="131"/>
                    <w:contextualSpacing w:val="0"/>
                    <w:rPr>
                      <w:rFonts w:hint="eastAsia" w:ascii="宋体" w:hAnsi="宋体" w:eastAsia="宋体" w:cs="Times New Roman"/>
                      <w:szCs w:val="21"/>
                    </w:rPr>
                  </w:pPr>
                  <w:r>
                    <w:rPr>
                      <w:rFonts w:hint="eastAsia" w:ascii="宋体" w:hAnsi="宋体" w:eastAsia="宋体" w:cs="Times New Roman"/>
                      <w:szCs w:val="21"/>
                    </w:rPr>
                    <w:t xml:space="preserve"> 5</w:t>
                  </w:r>
                </w:p>
              </w:tc>
              <w:tc>
                <w:tcPr>
                  <w:tcW w:w="1530" w:type="dxa"/>
                  <w:vAlign w:val="center"/>
                </w:tcPr>
                <w:p w14:paraId="1A4C72E0">
                  <w:pPr>
                    <w:spacing w:line="360" w:lineRule="auto"/>
                    <w:jc w:val="center"/>
                    <w:rPr>
                      <w:rFonts w:hint="eastAsia" w:ascii="宋体" w:hAnsi="宋体" w:eastAsia="宋体" w:cs="Times New Roman"/>
                      <w:szCs w:val="21"/>
                    </w:rPr>
                  </w:pPr>
                  <w:r>
                    <w:rPr>
                      <w:rFonts w:ascii="宋体" w:hAnsi="宋体" w:eastAsia="宋体" w:cs="Times New Roman"/>
                      <w:szCs w:val="21"/>
                    </w:rPr>
                    <w:t>电子药历</w:t>
                  </w:r>
                </w:p>
              </w:tc>
              <w:tc>
                <w:tcPr>
                  <w:tcW w:w="7215" w:type="dxa"/>
                  <w:vAlign w:val="center"/>
                </w:tcPr>
                <w:p w14:paraId="01DFB4D9">
                  <w:pPr>
                    <w:spacing w:line="320" w:lineRule="exact"/>
                    <w:ind w:firstLine="420" w:firstLineChars="200"/>
                    <w:rPr>
                      <w:rFonts w:hint="eastAsia" w:ascii="宋体" w:hAnsi="宋体" w:eastAsia="宋体" w:cs="Arial"/>
                      <w:bCs/>
                      <w:szCs w:val="21"/>
                    </w:rPr>
                  </w:pPr>
                  <w:r>
                    <w:rPr>
                      <w:rFonts w:hint="eastAsia" w:ascii="宋体" w:hAnsi="宋体" w:eastAsia="宋体" w:cs="Arial"/>
                      <w:bCs/>
                      <w:szCs w:val="21"/>
                    </w:rPr>
                    <w:t>系统应提供工作药历、教学药历填写模块，并提供自定义药历内容、药历审阅和工作量统计。</w:t>
                  </w:r>
                </w:p>
              </w:tc>
            </w:tr>
            <w:tr w14:paraId="3188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1F32DF4C">
                  <w:pPr>
                    <w:pStyle w:val="32"/>
                    <w:spacing w:line="360" w:lineRule="auto"/>
                    <w:ind w:left="-289"/>
                    <w:contextualSpacing w:val="0"/>
                    <w:jc w:val="center"/>
                    <w:rPr>
                      <w:rFonts w:hint="eastAsia" w:ascii="宋体" w:hAnsi="宋体" w:eastAsia="宋体" w:cs="Times New Roman"/>
                      <w:szCs w:val="21"/>
                    </w:rPr>
                  </w:pPr>
                  <w:r>
                    <w:rPr>
                      <w:rFonts w:hint="eastAsia" w:ascii="宋体" w:hAnsi="宋体" w:eastAsia="宋体" w:cs="Times New Roman"/>
                      <w:szCs w:val="21"/>
                    </w:rPr>
                    <w:t xml:space="preserve"> 6</w:t>
                  </w:r>
                </w:p>
              </w:tc>
              <w:tc>
                <w:tcPr>
                  <w:tcW w:w="1530" w:type="dxa"/>
                  <w:vAlign w:val="center"/>
                </w:tcPr>
                <w:p w14:paraId="7DAD1D14">
                  <w:pPr>
                    <w:spacing w:line="360" w:lineRule="auto"/>
                    <w:jc w:val="center"/>
                    <w:rPr>
                      <w:rFonts w:hint="eastAsia" w:ascii="宋体" w:hAnsi="宋体" w:eastAsia="宋体" w:cs="Times New Roman"/>
                      <w:szCs w:val="21"/>
                    </w:rPr>
                  </w:pPr>
                  <w:r>
                    <w:rPr>
                      <w:rFonts w:ascii="宋体" w:hAnsi="宋体" w:eastAsia="宋体" w:cs="Times New Roman"/>
                      <w:szCs w:val="21"/>
                    </w:rPr>
                    <w:t>统计分析</w:t>
                  </w:r>
                </w:p>
              </w:tc>
              <w:tc>
                <w:tcPr>
                  <w:tcW w:w="7215" w:type="dxa"/>
                  <w:vAlign w:val="center"/>
                </w:tcPr>
                <w:p w14:paraId="75418A7D">
                  <w:pPr>
                    <w:spacing w:line="320" w:lineRule="exact"/>
                    <w:jc w:val="left"/>
                    <w:rPr>
                      <w:rFonts w:hint="eastAsia" w:ascii="宋体" w:hAnsi="宋体" w:eastAsia="宋体" w:cs="Arial"/>
                      <w:bCs/>
                      <w:szCs w:val="21"/>
                    </w:rPr>
                  </w:pPr>
                  <w:r>
                    <w:rPr>
                      <w:rFonts w:hint="eastAsia" w:ascii="宋体" w:hAnsi="宋体" w:eastAsia="宋体" w:cs="Arial"/>
                      <w:bCs/>
                      <w:szCs w:val="21"/>
                    </w:rPr>
                    <w:t>系统应提供对医院合理用药指标及药品使用情况的统计分析，并能自定义显示和导出。同时提供关键字检索功能，便于快速查询指标。</w:t>
                  </w:r>
                </w:p>
                <w:p w14:paraId="37DCED50">
                  <w:pPr>
                    <w:spacing w:line="320" w:lineRule="exact"/>
                    <w:jc w:val="left"/>
                    <w:rPr>
                      <w:rFonts w:hint="eastAsia" w:eastAsia="宋体" w:cs="Arial" w:asciiTheme="minorEastAsia" w:hAnsiTheme="minorEastAsia"/>
                      <w:bCs/>
                      <w:szCs w:val="21"/>
                    </w:rPr>
                  </w:pPr>
                  <w:r>
                    <w:rPr>
                      <w:rFonts w:hint="eastAsia" w:eastAsia="宋体" w:cs="Arial" w:asciiTheme="minorEastAsia" w:hAnsiTheme="minorEastAsia"/>
                      <w:bCs/>
                      <w:szCs w:val="21"/>
                    </w:rPr>
                    <w:t>6.1合理用药指标及趋势分析，包括：抗菌药物使用率、平均用药品种数、注射剂使用率、抗菌药物患者使用前病原送检率、</w:t>
                  </w:r>
                  <w:r>
                    <w:rPr>
                      <w:rFonts w:eastAsia="宋体" w:cs="Arial" w:asciiTheme="minorEastAsia" w:hAnsiTheme="minorEastAsia"/>
                      <w:bCs/>
                      <w:szCs w:val="21"/>
                    </w:rPr>
                    <w:t>X</w:t>
                  </w:r>
                  <w:r>
                    <w:rPr>
                      <w:rFonts w:hint="eastAsia" w:eastAsia="宋体" w:cs="Arial" w:asciiTheme="minorEastAsia" w:hAnsiTheme="minorEastAsia"/>
                      <w:bCs/>
                      <w:szCs w:val="21"/>
                    </w:rPr>
                    <w:t>类切口手术预防用抗菌药物百分率、</w:t>
                  </w:r>
                  <w:r>
                    <w:rPr>
                      <w:rFonts w:eastAsia="宋体" w:cs="Arial" w:asciiTheme="minorEastAsia" w:hAnsiTheme="minorEastAsia"/>
                      <w:bCs/>
                      <w:szCs w:val="21"/>
                    </w:rPr>
                    <w:t>X</w:t>
                  </w:r>
                  <w:r>
                    <w:rPr>
                      <w:rFonts w:hint="eastAsia" w:eastAsia="宋体" w:cs="Arial" w:asciiTheme="minorEastAsia" w:hAnsiTheme="minorEastAsia"/>
                      <w:bCs/>
                      <w:szCs w:val="21"/>
                    </w:rPr>
                    <w:t>类切口手术术前</w:t>
                  </w:r>
                  <w:r>
                    <w:rPr>
                      <w:rFonts w:eastAsia="宋体" w:cs="Arial" w:asciiTheme="minorEastAsia" w:hAnsiTheme="minorEastAsia"/>
                      <w:bCs/>
                      <w:szCs w:val="21"/>
                    </w:rPr>
                    <w:t>0.5-1.0</w:t>
                  </w:r>
                  <w:r>
                    <w:rPr>
                      <w:rFonts w:hint="eastAsia" w:eastAsia="宋体" w:cs="Arial" w:asciiTheme="minorEastAsia" w:hAnsiTheme="minorEastAsia"/>
                      <w:bCs/>
                      <w:szCs w:val="21"/>
                    </w:rPr>
                    <w:t>小时预防给药百分率等。应能按全院、大科室、科室、医疗组、医生分别提供合理用药相关指标的统计，并能将合理用药指标重新组合并生成新的报表。</w:t>
                  </w:r>
                  <w:r>
                    <w:rPr>
                      <w:rFonts w:hint="eastAsia" w:eastAsia="宋体" w:asciiTheme="minorEastAsia" w:hAnsiTheme="minorEastAsia"/>
                      <w:bCs/>
                      <w:szCs w:val="21"/>
                    </w:rPr>
                    <w:t>应能实现抗菌药物使用强度、抗菌药物使用率、抗菌药物使用量、</w:t>
                  </w:r>
                  <w:r>
                    <w:rPr>
                      <w:rFonts w:eastAsia="宋体" w:asciiTheme="minorEastAsia" w:hAnsiTheme="minorEastAsia"/>
                      <w:bCs/>
                      <w:szCs w:val="21"/>
                    </w:rPr>
                    <w:t>I</w:t>
                  </w:r>
                  <w:r>
                    <w:rPr>
                      <w:rFonts w:hint="eastAsia" w:eastAsia="宋体" w:asciiTheme="minorEastAsia" w:hAnsiTheme="minorEastAsia"/>
                      <w:bCs/>
                      <w:szCs w:val="21"/>
                    </w:rPr>
                    <w:t>类切口手术预防用抗菌药物百分率、国家基本药物药占比同比、环比分析。</w:t>
                  </w:r>
                </w:p>
                <w:p w14:paraId="101ECA48">
                  <w:pPr>
                    <w:rPr>
                      <w:rFonts w:hint="eastAsia" w:eastAsia="宋体" w:asciiTheme="minorEastAsia" w:hAnsiTheme="minorEastAsia"/>
                      <w:bCs/>
                      <w:szCs w:val="21"/>
                    </w:rPr>
                  </w:pPr>
                  <w:r>
                    <w:rPr>
                      <w:rFonts w:hint="eastAsia" w:eastAsia="宋体" w:asciiTheme="minorEastAsia" w:hAnsiTheme="minorEastAsia"/>
                      <w:bCs/>
                      <w:szCs w:val="21"/>
                    </w:rPr>
                    <w:t>6.2可根据院方需求、政策需求，全面配合优化原有报表或新增报表。</w:t>
                  </w:r>
                </w:p>
                <w:p w14:paraId="5F0EC1A8">
                  <w:pPr>
                    <w:rPr>
                      <w:rFonts w:hint="eastAsia" w:eastAsia="宋体" w:asciiTheme="minorEastAsia" w:hAnsiTheme="minorEastAsia"/>
                      <w:bCs/>
                      <w:szCs w:val="21"/>
                    </w:rPr>
                  </w:pPr>
                  <w:r>
                    <w:rPr>
                      <w:rFonts w:hint="eastAsia" w:eastAsia="宋体" w:asciiTheme="minorEastAsia" w:hAnsiTheme="minorEastAsia"/>
                      <w:bCs/>
                      <w:szCs w:val="21"/>
                    </w:rPr>
                    <w:t>6.3应确保数据与HIS系统数据的一致性、准确性。</w:t>
                  </w:r>
                </w:p>
              </w:tc>
            </w:tr>
            <w:tr w14:paraId="212F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6B34DBEF">
                  <w:pPr>
                    <w:pStyle w:val="32"/>
                    <w:numPr>
                      <w:ilvl w:val="0"/>
                      <w:numId w:val="5"/>
                    </w:numPr>
                    <w:spacing w:line="360" w:lineRule="auto"/>
                    <w:ind w:left="131"/>
                    <w:contextualSpacing w:val="0"/>
                    <w:rPr>
                      <w:rFonts w:hint="eastAsia" w:ascii="宋体" w:hAnsi="宋体" w:eastAsia="宋体" w:cs="Times New Roman"/>
                      <w:szCs w:val="21"/>
                    </w:rPr>
                  </w:pPr>
                  <w:r>
                    <w:rPr>
                      <w:rFonts w:hint="eastAsia" w:ascii="宋体" w:hAnsi="宋体" w:eastAsia="宋体" w:cs="Times New Roman"/>
                      <w:szCs w:val="21"/>
                    </w:rPr>
                    <w:t xml:space="preserve">   7</w:t>
                  </w:r>
                </w:p>
              </w:tc>
              <w:tc>
                <w:tcPr>
                  <w:tcW w:w="1530" w:type="dxa"/>
                  <w:vAlign w:val="center"/>
                </w:tcPr>
                <w:p w14:paraId="65E661AC">
                  <w:pPr>
                    <w:spacing w:line="360" w:lineRule="auto"/>
                    <w:jc w:val="center"/>
                    <w:rPr>
                      <w:rFonts w:hint="eastAsia" w:ascii="宋体" w:hAnsi="宋体" w:eastAsia="宋体" w:cs="Times New Roman"/>
                      <w:szCs w:val="21"/>
                    </w:rPr>
                  </w:pPr>
                  <w:r>
                    <w:rPr>
                      <w:rFonts w:ascii="宋体" w:hAnsi="宋体" w:eastAsia="宋体" w:cs="Times New Roman"/>
                      <w:szCs w:val="21"/>
                    </w:rPr>
                    <w:t>其它</w:t>
                  </w:r>
                </w:p>
              </w:tc>
              <w:tc>
                <w:tcPr>
                  <w:tcW w:w="7215" w:type="dxa"/>
                  <w:vAlign w:val="center"/>
                </w:tcPr>
                <w:p w14:paraId="523DFB72">
                  <w:pPr>
                    <w:pStyle w:val="32"/>
                    <w:numPr>
                      <w:ilvl w:val="0"/>
                      <w:numId w:val="6"/>
                    </w:numPr>
                    <w:spacing w:line="320" w:lineRule="exact"/>
                    <w:ind w:left="420" w:hanging="420"/>
                    <w:contextualSpacing w:val="0"/>
                    <w:rPr>
                      <w:rFonts w:hint="eastAsia" w:ascii="宋体" w:hAnsi="宋体" w:eastAsia="宋体" w:cs="Arial"/>
                      <w:bCs/>
                      <w:szCs w:val="21"/>
                    </w:rPr>
                  </w:pPr>
                  <w:r>
                    <w:rPr>
                      <w:rFonts w:hint="eastAsia" w:ascii="宋体" w:hAnsi="宋体" w:eastAsia="宋体" w:cs="Arial"/>
                      <w:bCs/>
                      <w:szCs w:val="21"/>
                    </w:rPr>
                    <w:t>自维护功能</w:t>
                  </w:r>
                </w:p>
                <w:p w14:paraId="2EE416D6">
                  <w:pPr>
                    <w:spacing w:line="320" w:lineRule="exact"/>
                    <w:ind w:firstLine="420" w:firstLineChars="200"/>
                    <w:rPr>
                      <w:rFonts w:hint="eastAsia" w:ascii="宋体" w:hAnsi="宋体" w:eastAsia="宋体" w:cs="Arial"/>
                      <w:bCs/>
                      <w:szCs w:val="21"/>
                    </w:rPr>
                  </w:pPr>
                  <w:r>
                    <w:rPr>
                      <w:rFonts w:hint="eastAsia" w:ascii="宋体" w:hAnsi="宋体" w:eastAsia="宋体" w:cs="Arial"/>
                      <w:bCs/>
                      <w:szCs w:val="21"/>
                    </w:rPr>
                    <w:t>系统应对医院药品属性、</w:t>
                  </w:r>
                  <w:r>
                    <w:rPr>
                      <w:rFonts w:hint="eastAsia" w:ascii="宋体" w:hAnsi="宋体" w:eastAsia="宋体" w:cs="Times New Roman"/>
                      <w:szCs w:val="21"/>
                    </w:rPr>
                    <w:t>给药途径、给药频次、感染疾病类型、检验申请/结果/收费项目类型、手术分类、科室类型、医生抗菌药物权限、围术期用药</w:t>
                  </w:r>
                  <w:r>
                    <w:rPr>
                      <w:rFonts w:ascii="宋体" w:hAnsi="宋体" w:eastAsia="宋体" w:cs="Arial"/>
                      <w:bCs/>
                      <w:szCs w:val="21"/>
                    </w:rPr>
                    <w:t>等基础数据进行程序自动维护。</w:t>
                  </w:r>
                </w:p>
                <w:p w14:paraId="7F4CE216">
                  <w:pPr>
                    <w:pStyle w:val="32"/>
                    <w:numPr>
                      <w:ilvl w:val="0"/>
                      <w:numId w:val="6"/>
                    </w:numPr>
                    <w:spacing w:line="320" w:lineRule="exact"/>
                    <w:ind w:left="420" w:hanging="420"/>
                    <w:contextualSpacing w:val="0"/>
                    <w:rPr>
                      <w:rFonts w:hint="eastAsia" w:ascii="宋体" w:hAnsi="宋体" w:eastAsia="宋体" w:cs="Arial"/>
                      <w:bCs/>
                      <w:szCs w:val="21"/>
                    </w:rPr>
                  </w:pPr>
                  <w:r>
                    <w:rPr>
                      <w:rFonts w:hint="eastAsia" w:ascii="宋体" w:hAnsi="宋体" w:eastAsia="宋体" w:cs="Arial"/>
                      <w:bCs/>
                      <w:szCs w:val="21"/>
                    </w:rPr>
                    <w:t>权限管理</w:t>
                  </w:r>
                </w:p>
                <w:p w14:paraId="438A57BC">
                  <w:pPr>
                    <w:pStyle w:val="6"/>
                    <w:keepNext w:val="0"/>
                    <w:keepLines w:val="0"/>
                    <w:numPr>
                      <w:ilvl w:val="0"/>
                      <w:numId w:val="7"/>
                    </w:numPr>
                    <w:spacing w:before="0" w:after="0" w:line="320" w:lineRule="exact"/>
                    <w:ind w:left="0" w:firstLine="0"/>
                    <w:jc w:val="left"/>
                    <w:rPr>
                      <w:rFonts w:hint="eastAsia" w:ascii="宋体" w:hAnsi="宋体" w:eastAsia="宋体" w:cs="Arial"/>
                      <w:color w:val="auto"/>
                      <w:sz w:val="21"/>
                      <w:szCs w:val="21"/>
                    </w:rPr>
                  </w:pPr>
                  <w:r>
                    <w:rPr>
                      <w:rFonts w:hint="eastAsia" w:ascii="宋体" w:hAnsi="宋体" w:eastAsia="宋体" w:cs="Arial"/>
                      <w:color w:val="auto"/>
                      <w:sz w:val="21"/>
                      <w:szCs w:val="21"/>
                    </w:rPr>
                    <w:t>系统应对各项功能设置严格的权限管理，包括处方点评权限、报表的统计权限、打印</w:t>
                  </w:r>
                  <w:r>
                    <w:rPr>
                      <w:rFonts w:ascii="宋体" w:hAnsi="宋体" w:eastAsia="宋体" w:cs="Arial"/>
                      <w:color w:val="auto"/>
                      <w:sz w:val="21"/>
                      <w:szCs w:val="21"/>
                    </w:rPr>
                    <w:t>/导出权限等。</w:t>
                  </w:r>
                </w:p>
                <w:p w14:paraId="2D5496F2">
                  <w:pPr>
                    <w:pStyle w:val="6"/>
                    <w:keepNext w:val="0"/>
                    <w:keepLines w:val="0"/>
                    <w:numPr>
                      <w:ilvl w:val="0"/>
                      <w:numId w:val="7"/>
                    </w:numPr>
                    <w:spacing w:before="0" w:after="0" w:line="320" w:lineRule="exact"/>
                    <w:ind w:left="284" w:hanging="284"/>
                    <w:rPr>
                      <w:rFonts w:hint="eastAsia" w:ascii="宋体" w:hAnsi="宋体" w:eastAsia="宋体" w:cs="Arial"/>
                      <w:color w:val="auto"/>
                      <w:sz w:val="21"/>
                      <w:szCs w:val="21"/>
                    </w:rPr>
                  </w:pPr>
                  <w:r>
                    <w:rPr>
                      <w:rFonts w:hint="eastAsia" w:ascii="宋体" w:hAnsi="宋体" w:eastAsia="宋体" w:cs="Arial"/>
                      <w:color w:val="auto"/>
                      <w:sz w:val="21"/>
                      <w:szCs w:val="21"/>
                    </w:rPr>
                    <w:t>系统应提供用户操作日志、版本更新内容查询功能。</w:t>
                  </w:r>
                </w:p>
              </w:tc>
            </w:tr>
          </w:tbl>
          <w:p w14:paraId="7BC754CE">
            <w:pPr>
              <w:spacing w:line="360" w:lineRule="auto"/>
              <w:rPr>
                <w:rFonts w:hint="eastAsia" w:ascii="宋体" w:hAnsi="宋体" w:eastAsia="宋体"/>
                <w:b/>
                <w:szCs w:val="21"/>
              </w:rPr>
            </w:pPr>
          </w:p>
          <w:tbl>
            <w:tblPr>
              <w:tblStyle w:val="17"/>
              <w:tblpPr w:leftFromText="180" w:rightFromText="180" w:vertAnchor="page" w:horzAnchor="margin" w:tblpX="-133" w:tblpY="2053"/>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245"/>
              <w:gridCol w:w="7485"/>
            </w:tblGrid>
            <w:tr w14:paraId="74FF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gridSpan w:val="3"/>
                  <w:vAlign w:val="center"/>
                </w:tcPr>
                <w:p w14:paraId="6DFF44CB">
                  <w:pPr>
                    <w:spacing w:line="360" w:lineRule="auto"/>
                    <w:rPr>
                      <w:rFonts w:hint="eastAsia" w:ascii="宋体" w:hAnsi="宋体" w:eastAsia="宋体" w:cs="Arial"/>
                      <w:b/>
                      <w:bCs/>
                      <w:szCs w:val="21"/>
                    </w:rPr>
                  </w:pPr>
                  <w:r>
                    <w:rPr>
                      <w:rFonts w:hint="eastAsia" w:ascii="宋体" w:hAnsi="宋体" w:eastAsia="宋体" w:cs="Arial"/>
                      <w:b/>
                      <w:bCs/>
                      <w:szCs w:val="21"/>
                    </w:rPr>
                    <w:t>药师审方干预功能要求</w:t>
                  </w:r>
                </w:p>
              </w:tc>
            </w:tr>
            <w:tr w14:paraId="5EC5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7685AC8B">
                  <w:pPr>
                    <w:pStyle w:val="32"/>
                    <w:numPr>
                      <w:ilvl w:val="0"/>
                      <w:numId w:val="5"/>
                    </w:numPr>
                    <w:spacing w:line="360" w:lineRule="auto"/>
                    <w:ind w:left="-431" w:firstLine="0"/>
                    <w:contextualSpacing w:val="0"/>
                    <w:rPr>
                      <w:rFonts w:hint="eastAsia" w:ascii="宋体" w:hAnsi="宋体" w:eastAsia="宋体" w:cs="Times New Roman"/>
                      <w:szCs w:val="21"/>
                    </w:rPr>
                  </w:pPr>
                  <w:bookmarkStart w:id="0" w:name="_Hlk109920880"/>
                  <w:r>
                    <w:rPr>
                      <w:rFonts w:hint="eastAsia" w:ascii="宋体" w:hAnsi="宋体" w:eastAsia="宋体" w:cs="Times New Roman"/>
                      <w:szCs w:val="21"/>
                    </w:rPr>
                    <w:t xml:space="preserve">  1</w:t>
                  </w:r>
                </w:p>
              </w:tc>
              <w:tc>
                <w:tcPr>
                  <w:tcW w:w="1245" w:type="dxa"/>
                  <w:vAlign w:val="center"/>
                </w:tcPr>
                <w:p w14:paraId="0139501A">
                  <w:pPr>
                    <w:spacing w:line="320" w:lineRule="exact"/>
                    <w:jc w:val="center"/>
                    <w:rPr>
                      <w:rFonts w:hint="eastAsia" w:ascii="宋体" w:hAnsi="宋体" w:eastAsia="宋体" w:cs="Times New Roman"/>
                      <w:szCs w:val="21"/>
                    </w:rPr>
                  </w:pPr>
                  <w:r>
                    <w:rPr>
                      <w:rFonts w:hint="eastAsia" w:ascii="宋体" w:hAnsi="宋体" w:eastAsia="宋体" w:cs="Times New Roman"/>
                      <w:szCs w:val="21"/>
                    </w:rPr>
                    <w:t>审方时机和过程</w:t>
                  </w:r>
                </w:p>
              </w:tc>
              <w:tc>
                <w:tcPr>
                  <w:tcW w:w="7485" w:type="dxa"/>
                  <w:vAlign w:val="center"/>
                </w:tcPr>
                <w:p w14:paraId="0EC2B5D0">
                  <w:pPr>
                    <w:pStyle w:val="5"/>
                    <w:rPr>
                      <w:rFonts w:hint="eastAsia" w:ascii="宋体" w:hAnsi="宋体" w:eastAsia="宋体" w:cstheme="minorBidi"/>
                      <w:b/>
                      <w:bCs/>
                      <w:color w:val="auto"/>
                      <w:sz w:val="21"/>
                      <w:szCs w:val="21"/>
                    </w:rPr>
                  </w:pPr>
                  <w:r>
                    <w:rPr>
                      <w:rFonts w:hint="eastAsia" w:ascii="宋体" w:hAnsi="宋体" w:eastAsia="宋体" w:cstheme="minorBidi"/>
                      <w:color w:val="auto"/>
                      <w:sz w:val="21"/>
                      <w:szCs w:val="21"/>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tc>
            </w:tr>
            <w:bookmarkEnd w:id="0"/>
            <w:tr w14:paraId="0A12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5EC49ADD">
                  <w:pPr>
                    <w:pStyle w:val="32"/>
                    <w:spacing w:line="360" w:lineRule="auto"/>
                    <w:ind w:left="-431"/>
                    <w:contextualSpacing w:val="0"/>
                    <w:jc w:val="center"/>
                    <w:rPr>
                      <w:rFonts w:hint="eastAsia" w:ascii="宋体" w:hAnsi="宋体" w:eastAsia="宋体" w:cs="Times New Roman"/>
                      <w:szCs w:val="21"/>
                    </w:rPr>
                  </w:pPr>
                  <w:r>
                    <w:rPr>
                      <w:rFonts w:hint="eastAsia" w:ascii="宋体" w:hAnsi="宋体" w:eastAsia="宋体" w:cs="Times New Roman"/>
                      <w:szCs w:val="21"/>
                    </w:rPr>
                    <w:t xml:space="preserve">    2</w:t>
                  </w:r>
                </w:p>
              </w:tc>
              <w:tc>
                <w:tcPr>
                  <w:tcW w:w="1245" w:type="dxa"/>
                  <w:vAlign w:val="center"/>
                </w:tcPr>
                <w:p w14:paraId="37760746">
                  <w:pPr>
                    <w:spacing w:line="320" w:lineRule="exact"/>
                    <w:jc w:val="center"/>
                    <w:rPr>
                      <w:rFonts w:hint="eastAsia" w:ascii="宋体" w:hAnsi="宋体" w:eastAsia="宋体" w:cs="Times New Roman"/>
                      <w:szCs w:val="21"/>
                    </w:rPr>
                  </w:pPr>
                  <w:r>
                    <w:rPr>
                      <w:rFonts w:hint="eastAsia" w:ascii="宋体" w:hAnsi="宋体" w:eastAsia="宋体" w:cs="Arial"/>
                      <w:szCs w:val="21"/>
                    </w:rPr>
                    <w:t>审方干预功能</w:t>
                  </w:r>
                </w:p>
              </w:tc>
              <w:tc>
                <w:tcPr>
                  <w:tcW w:w="7485" w:type="dxa"/>
                  <w:vAlign w:val="center"/>
                </w:tcPr>
                <w:p w14:paraId="4601CCFD">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系统可主动分配任务给药师，任务来临时可用弹框提醒药师，点击弹框后即可跳转至审方页面。</w:t>
                  </w:r>
                </w:p>
                <w:p w14:paraId="4E21E777">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药师可设置单次可获取任务数，所获取的任务按时间先后顺序排列。</w:t>
                  </w:r>
                </w:p>
                <w:p w14:paraId="05B9AD1B">
                  <w:pPr>
                    <w:pStyle w:val="5"/>
                    <w:numPr>
                      <w:ilvl w:val="0"/>
                      <w:numId w:val="8"/>
                    </w:numPr>
                    <w:tabs>
                      <w:tab w:val="left" w:pos="360"/>
                    </w:tabs>
                    <w:ind w:left="0" w:firstLine="0"/>
                    <w:rPr>
                      <w:rFonts w:hint="eastAsia" w:ascii="宋体" w:hAnsi="宋体" w:eastAsia="宋体" w:cs="Arial"/>
                      <w:b/>
                      <w:bCs/>
                      <w:color w:val="auto"/>
                      <w:sz w:val="21"/>
                      <w:szCs w:val="21"/>
                    </w:rPr>
                  </w:pPr>
                  <w:bookmarkStart w:id="1" w:name="_Hlk109921512"/>
                  <w:r>
                    <w:rPr>
                      <w:rFonts w:hint="eastAsia" w:ascii="宋体" w:hAnsi="宋体" w:eastAsia="宋体" w:cs="Arial"/>
                      <w:color w:val="auto"/>
                      <w:sz w:val="21"/>
                      <w:szCs w:val="21"/>
                    </w:rPr>
                    <w:t>药师审查时，可在审查界面一体化查看当前处方（医嘱）历史干预记录，如医生操作、用药理由等。</w:t>
                  </w:r>
                </w:p>
                <w:p w14:paraId="3F32955D">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药师审查时可查看当前处方（医嘱）历史修改版本信息。</w:t>
                  </w:r>
                </w:p>
                <w:bookmarkEnd w:id="1"/>
                <w:p w14:paraId="1298DF3D">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药师可选择审核意见中的重点文字变色处理后发给医生。药师还可预设常用问题模板。</w:t>
                  </w:r>
                </w:p>
                <w:p w14:paraId="0DB8E175">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药师可以根据不同任务情况选择医生处方（医嘱）直接双签通过还是需要药师复核。</w:t>
                  </w:r>
                </w:p>
                <w:p w14:paraId="08AE051F">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若一张处方（医嘱）通过前有多个修改版本，系统可以标记每个版本的处置状态。</w:t>
                  </w:r>
                </w:p>
                <w:p w14:paraId="170731E8">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系统支持根据医生提交至药师处的中药处方智能检索近似经典方剂供药师参考。</w:t>
                  </w:r>
                </w:p>
              </w:tc>
            </w:tr>
            <w:tr w14:paraId="20A7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7D42F159">
                  <w:pPr>
                    <w:pStyle w:val="32"/>
                    <w:spacing w:line="360" w:lineRule="auto"/>
                    <w:ind w:left="-431"/>
                    <w:contextualSpacing w:val="0"/>
                    <w:rPr>
                      <w:rFonts w:hint="eastAsia" w:ascii="宋体" w:hAnsi="宋体" w:eastAsia="宋体" w:cs="Times New Roman"/>
                      <w:szCs w:val="21"/>
                    </w:rPr>
                  </w:pPr>
                  <w:bookmarkStart w:id="2" w:name="_Hlk109920935"/>
                  <w:r>
                    <w:rPr>
                      <w:rFonts w:hint="eastAsia" w:ascii="宋体" w:hAnsi="宋体" w:eastAsia="宋体" w:cs="Times New Roman"/>
                      <w:szCs w:val="21"/>
                    </w:rPr>
                    <w:t xml:space="preserve">      3</w:t>
                  </w:r>
                </w:p>
              </w:tc>
              <w:tc>
                <w:tcPr>
                  <w:tcW w:w="1245" w:type="dxa"/>
                  <w:vAlign w:val="center"/>
                </w:tcPr>
                <w:p w14:paraId="0C31DA66">
                  <w:pPr>
                    <w:spacing w:line="320" w:lineRule="exact"/>
                    <w:jc w:val="center"/>
                    <w:rPr>
                      <w:rFonts w:hint="eastAsia" w:ascii="宋体" w:hAnsi="宋体" w:eastAsia="宋体" w:cs="Arial"/>
                      <w:szCs w:val="21"/>
                    </w:rPr>
                  </w:pPr>
                  <w:r>
                    <w:rPr>
                      <w:rFonts w:hint="eastAsia" w:ascii="宋体" w:hAnsi="宋体" w:eastAsia="宋体" w:cs="Arial"/>
                      <w:szCs w:val="21"/>
                    </w:rPr>
                    <w:t>质量评价功能</w:t>
                  </w:r>
                </w:p>
              </w:tc>
              <w:tc>
                <w:tcPr>
                  <w:tcW w:w="7485" w:type="dxa"/>
                  <w:vAlign w:val="center"/>
                </w:tcPr>
                <w:p w14:paraId="6F94204B">
                  <w:pPr>
                    <w:pStyle w:val="5"/>
                    <w:rPr>
                      <w:rFonts w:hint="eastAsia" w:ascii="宋体" w:hAnsi="宋体" w:eastAsia="宋体" w:cs="Arial"/>
                      <w:b/>
                      <w:bCs/>
                      <w:color w:val="auto"/>
                      <w:sz w:val="21"/>
                      <w:szCs w:val="21"/>
                    </w:rPr>
                  </w:pPr>
                  <w:r>
                    <w:rPr>
                      <w:rFonts w:hint="eastAsia" w:ascii="宋体" w:hAnsi="宋体" w:eastAsia="宋体" w:cs="Arial"/>
                      <w:color w:val="auto"/>
                      <w:sz w:val="21"/>
                      <w:szCs w:val="21"/>
                    </w:rPr>
                    <w:t>系统提供多种筛选方案设置功能，进行待评价任务筛选。评价人可对每个任务输入审核意见并打分。系统可自动生成任务评分表，并可导出到Excel。</w:t>
                  </w:r>
                </w:p>
              </w:tc>
            </w:tr>
            <w:bookmarkEnd w:id="2"/>
            <w:tr w14:paraId="11D1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5EBCE66D">
                  <w:pPr>
                    <w:pStyle w:val="32"/>
                    <w:spacing w:line="360" w:lineRule="auto"/>
                    <w:ind w:left="-431"/>
                    <w:contextualSpacing w:val="0"/>
                    <w:jc w:val="center"/>
                    <w:rPr>
                      <w:rFonts w:hint="eastAsia" w:ascii="宋体" w:hAnsi="宋体" w:eastAsia="宋体" w:cs="Times New Roman"/>
                      <w:szCs w:val="21"/>
                    </w:rPr>
                  </w:pPr>
                  <w:r>
                    <w:rPr>
                      <w:rFonts w:hint="eastAsia" w:ascii="宋体" w:hAnsi="宋体" w:eastAsia="宋体" w:cs="Times New Roman"/>
                      <w:szCs w:val="21"/>
                    </w:rPr>
                    <w:t xml:space="preserve">    4</w:t>
                  </w:r>
                </w:p>
              </w:tc>
              <w:tc>
                <w:tcPr>
                  <w:tcW w:w="1245" w:type="dxa"/>
                  <w:vAlign w:val="center"/>
                </w:tcPr>
                <w:p w14:paraId="0FE0DDBC">
                  <w:pPr>
                    <w:spacing w:line="320" w:lineRule="exact"/>
                    <w:jc w:val="center"/>
                    <w:rPr>
                      <w:rFonts w:hint="eastAsia" w:ascii="宋体" w:hAnsi="宋体" w:eastAsia="宋体" w:cs="Times New Roman"/>
                      <w:szCs w:val="21"/>
                    </w:rPr>
                  </w:pPr>
                  <w:r>
                    <w:rPr>
                      <w:rFonts w:hint="eastAsia" w:ascii="宋体" w:hAnsi="宋体" w:eastAsia="宋体" w:cs="Times New Roman"/>
                      <w:szCs w:val="21"/>
                    </w:rPr>
                    <w:t>审方干预自定义功能</w:t>
                  </w:r>
                </w:p>
              </w:tc>
              <w:tc>
                <w:tcPr>
                  <w:tcW w:w="7485" w:type="dxa"/>
                  <w:vAlign w:val="center"/>
                </w:tcPr>
                <w:p w14:paraId="40A72B9F">
                  <w:pPr>
                    <w:pStyle w:val="32"/>
                    <w:numPr>
                      <w:ilvl w:val="0"/>
                      <w:numId w:val="9"/>
                    </w:numPr>
                    <w:spacing w:line="320" w:lineRule="exact"/>
                    <w:ind w:left="0" w:firstLine="0"/>
                    <w:contextualSpacing w:val="0"/>
                    <w:jc w:val="left"/>
                    <w:rPr>
                      <w:rFonts w:hint="eastAsia" w:ascii="宋体" w:hAnsi="宋体" w:eastAsia="宋体" w:cs="Arial"/>
                      <w:bCs/>
                      <w:szCs w:val="21"/>
                    </w:rPr>
                  </w:pPr>
                  <w:r>
                    <w:rPr>
                      <w:rFonts w:hint="eastAsia" w:ascii="宋体" w:hAnsi="宋体" w:eastAsia="宋体" w:cs="Arial"/>
                      <w:bCs/>
                      <w:szCs w:val="21"/>
                    </w:rPr>
                    <w:t>可将任意科室、医生、患者、疾病、药品设置为重点关注，可按科室、医生、患者、疾病、药品、问题类型、警示级别多条件组合设置重点关注，包含重点关注信息的处方由药师进行全面审查。</w:t>
                  </w:r>
                </w:p>
                <w:p w14:paraId="684140AF">
                  <w:pPr>
                    <w:pStyle w:val="32"/>
                    <w:numPr>
                      <w:ilvl w:val="0"/>
                      <w:numId w:val="9"/>
                    </w:numPr>
                    <w:spacing w:line="320" w:lineRule="exact"/>
                    <w:ind w:left="0" w:firstLine="0"/>
                    <w:contextualSpacing w:val="0"/>
                    <w:jc w:val="left"/>
                    <w:rPr>
                      <w:rFonts w:ascii="Calibri" w:hAnsi="Calibri" w:eastAsia="宋体" w:cs="Times New Roman"/>
                    </w:rPr>
                  </w:pPr>
                  <w:r>
                    <w:rPr>
                      <w:rFonts w:hint="eastAsia" w:ascii="宋体" w:hAnsi="宋体" w:eastAsia="宋体" w:cs="Arial"/>
                      <w:bCs/>
                      <w:szCs w:val="21"/>
                    </w:rPr>
                    <w:t>用户可根据使用习惯，设置或上传任务提示音，设置处置按钮顺序、样式，以及发送给医生的常用语。</w:t>
                  </w:r>
                </w:p>
                <w:p w14:paraId="2A5B762E">
                  <w:pPr>
                    <w:pStyle w:val="32"/>
                    <w:numPr>
                      <w:ilvl w:val="0"/>
                      <w:numId w:val="9"/>
                    </w:numPr>
                    <w:spacing w:line="320" w:lineRule="exact"/>
                    <w:ind w:left="0" w:firstLine="0"/>
                    <w:contextualSpacing w:val="0"/>
                    <w:jc w:val="left"/>
                    <w:rPr>
                      <w:rFonts w:hint="eastAsia" w:ascii="宋体" w:hAnsi="宋体" w:eastAsia="宋体" w:cs="Arial"/>
                      <w:bCs/>
                      <w:szCs w:val="21"/>
                    </w:rPr>
                  </w:pPr>
                  <w:r>
                    <w:rPr>
                      <w:rFonts w:hint="eastAsia" w:ascii="宋体" w:hAnsi="宋体" w:eastAsia="宋体" w:cs="Arial"/>
                      <w:bCs/>
                      <w:szCs w:val="21"/>
                    </w:rPr>
                    <w:t>用户可设置自动干预模式，并设置医生填写用药理由的模式。药师不在岗时，系统自动干预，医生填写用药理由后方可执行，支持全院和分科室设置。</w:t>
                  </w:r>
                </w:p>
              </w:tc>
            </w:tr>
            <w:tr w14:paraId="7A8F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31D43A5F">
                  <w:pPr>
                    <w:pStyle w:val="32"/>
                    <w:spacing w:line="360" w:lineRule="auto"/>
                    <w:ind w:left="-431"/>
                    <w:contextualSpacing w:val="0"/>
                    <w:jc w:val="center"/>
                    <w:rPr>
                      <w:rFonts w:hint="eastAsia" w:ascii="宋体" w:hAnsi="宋体" w:eastAsia="宋体" w:cs="Times New Roman"/>
                      <w:szCs w:val="21"/>
                    </w:rPr>
                  </w:pPr>
                  <w:r>
                    <w:rPr>
                      <w:rFonts w:hint="eastAsia" w:ascii="宋体" w:hAnsi="宋体" w:eastAsia="宋体" w:cs="Times New Roman"/>
                      <w:szCs w:val="21"/>
                    </w:rPr>
                    <w:t xml:space="preserve">   5</w:t>
                  </w:r>
                </w:p>
              </w:tc>
              <w:tc>
                <w:tcPr>
                  <w:tcW w:w="1245" w:type="dxa"/>
                  <w:vAlign w:val="center"/>
                </w:tcPr>
                <w:p w14:paraId="35D00AC1">
                  <w:pPr>
                    <w:spacing w:line="320" w:lineRule="exact"/>
                    <w:jc w:val="center"/>
                    <w:rPr>
                      <w:rFonts w:hint="eastAsia" w:ascii="宋体" w:hAnsi="宋体" w:eastAsia="宋体" w:cs="Times New Roman"/>
                      <w:szCs w:val="21"/>
                    </w:rPr>
                  </w:pPr>
                  <w:r>
                    <w:rPr>
                      <w:rFonts w:hint="eastAsia" w:ascii="宋体" w:hAnsi="宋体" w:eastAsia="宋体" w:cs="Times New Roman"/>
                      <w:szCs w:val="21"/>
                    </w:rPr>
                    <w:t>系统审查</w:t>
                  </w:r>
                </w:p>
              </w:tc>
              <w:tc>
                <w:tcPr>
                  <w:tcW w:w="7485" w:type="dxa"/>
                  <w:vAlign w:val="center"/>
                </w:tcPr>
                <w:p w14:paraId="09396974">
                  <w:pPr>
                    <w:pStyle w:val="32"/>
                    <w:spacing w:line="320" w:lineRule="exact"/>
                    <w:ind w:left="0"/>
                    <w:jc w:val="left"/>
                    <w:rPr>
                      <w:rFonts w:hint="eastAsia" w:ascii="宋体" w:hAnsi="宋体" w:eastAsia="宋体" w:cs="Arial"/>
                      <w:bCs/>
                      <w:szCs w:val="21"/>
                    </w:rPr>
                  </w:pPr>
                  <w:r>
                    <w:rPr>
                      <w:rFonts w:hint="eastAsia" w:ascii="宋体" w:hAnsi="宋体" w:eastAsia="宋体" w:cs="Arial"/>
                      <w:bCs/>
                      <w:szCs w:val="21"/>
                    </w:rPr>
                    <w:t>系统审查项目、规则等应与医院当前在用医生端审方系统保持一致，并能实现无缝对接，即药师端可查看医生端审方系统的详细审查结果信息，同时药师审核问题标准可按医生端审方系统的审查项目和问题级别进行设置。</w:t>
                  </w:r>
                </w:p>
              </w:tc>
            </w:tr>
            <w:tr w14:paraId="22CE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66329543">
                  <w:pPr>
                    <w:pStyle w:val="32"/>
                    <w:spacing w:line="360" w:lineRule="auto"/>
                    <w:ind w:left="0"/>
                    <w:contextualSpacing w:val="0"/>
                    <w:jc w:val="center"/>
                    <w:rPr>
                      <w:rFonts w:hint="eastAsia" w:ascii="宋体" w:hAnsi="宋体" w:eastAsia="宋体" w:cs="Times New Roman"/>
                      <w:szCs w:val="21"/>
                    </w:rPr>
                  </w:pPr>
                  <w:r>
                    <w:rPr>
                      <w:rFonts w:hint="eastAsia" w:ascii="宋体" w:hAnsi="宋体" w:eastAsia="宋体" w:cs="Times New Roman"/>
                      <w:szCs w:val="21"/>
                    </w:rPr>
                    <w:t>6</w:t>
                  </w:r>
                </w:p>
              </w:tc>
              <w:tc>
                <w:tcPr>
                  <w:tcW w:w="1245" w:type="dxa"/>
                  <w:vAlign w:val="center"/>
                </w:tcPr>
                <w:p w14:paraId="3D95277F">
                  <w:pPr>
                    <w:spacing w:line="320" w:lineRule="exact"/>
                    <w:jc w:val="center"/>
                    <w:rPr>
                      <w:rFonts w:hint="eastAsia" w:ascii="宋体" w:hAnsi="宋体" w:eastAsia="宋体" w:cs="Times New Roman"/>
                      <w:szCs w:val="21"/>
                    </w:rPr>
                  </w:pPr>
                  <w:r>
                    <w:rPr>
                      <w:rFonts w:hint="eastAsia" w:ascii="宋体" w:hAnsi="宋体" w:eastAsia="宋体" w:cs="Times New Roman"/>
                      <w:szCs w:val="21"/>
                    </w:rPr>
                    <w:t>统计分析</w:t>
                  </w:r>
                </w:p>
              </w:tc>
              <w:tc>
                <w:tcPr>
                  <w:tcW w:w="7485" w:type="dxa"/>
                  <w:vAlign w:val="center"/>
                </w:tcPr>
                <w:p w14:paraId="1E190C27">
                  <w:pPr>
                    <w:pStyle w:val="32"/>
                    <w:numPr>
                      <w:ilvl w:val="0"/>
                      <w:numId w:val="6"/>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可以分别统计门诊、住院任务的审核率、干预率、合格率等重要指标，并可提供统计图。可按照科室、医生、药品、药师进行干预情况分类统计。</w:t>
                  </w:r>
                </w:p>
                <w:p w14:paraId="41F405EA">
                  <w:pPr>
                    <w:pStyle w:val="32"/>
                    <w:numPr>
                      <w:ilvl w:val="0"/>
                      <w:numId w:val="6"/>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可以统计每个药师的监测时长、审核工作量、干预工作量和干预有效率，并可提供统计图。</w:t>
                  </w:r>
                </w:p>
                <w:p w14:paraId="4993C25E">
                  <w:pPr>
                    <w:pStyle w:val="32"/>
                    <w:numPr>
                      <w:ilvl w:val="0"/>
                      <w:numId w:val="6"/>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可以提供不合理问题统计分析，支持按时间、问题类型、警示等级等条件进行统计，并可生成统计图。可以查看在人工审方时药师主动添加的问题的发生次数、发生率。</w:t>
                  </w:r>
                </w:p>
                <w:p w14:paraId="44945A41">
                  <w:pPr>
                    <w:pStyle w:val="32"/>
                    <w:numPr>
                      <w:ilvl w:val="0"/>
                      <w:numId w:val="6"/>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可以分科室、医生、药品、问题类型提供干预效果追踪，并以统计图的方式体现干预效果。</w:t>
                  </w:r>
                </w:p>
                <w:p w14:paraId="0A573BBE">
                  <w:pPr>
                    <w:pStyle w:val="32"/>
                    <w:numPr>
                      <w:ilvl w:val="0"/>
                      <w:numId w:val="6"/>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可按不同的处方（医嘱）通过状态进行统计，并可生成统计图。</w:t>
                  </w:r>
                </w:p>
                <w:p w14:paraId="4F9BB07A">
                  <w:pPr>
                    <w:numPr>
                      <w:ilvl w:val="0"/>
                      <w:numId w:val="6"/>
                    </w:numPr>
                    <w:spacing w:line="320" w:lineRule="exact"/>
                    <w:jc w:val="left"/>
                    <w:rPr>
                      <w:rFonts w:hint="eastAsia" w:ascii="宋体" w:hAnsi="宋体" w:eastAsia="宋体" w:cs="Arial"/>
                      <w:szCs w:val="21"/>
                    </w:rPr>
                  </w:pPr>
                  <w:r>
                    <w:rPr>
                      <w:rFonts w:hint="eastAsia" w:ascii="宋体" w:hAnsi="宋体" w:eastAsia="宋体" w:cs="Arial"/>
                      <w:szCs w:val="21"/>
                    </w:rPr>
                    <w:t>医生端可通过用药自查，查看自身任务的审核干预相关统计数据。</w:t>
                  </w:r>
                </w:p>
              </w:tc>
            </w:tr>
            <w:tr w14:paraId="3776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5A52F5C2">
                  <w:pPr>
                    <w:pStyle w:val="32"/>
                    <w:spacing w:line="360" w:lineRule="auto"/>
                    <w:ind w:left="-431"/>
                    <w:contextualSpacing w:val="0"/>
                    <w:rPr>
                      <w:rFonts w:hint="eastAsia" w:ascii="宋体" w:hAnsi="宋体" w:eastAsia="宋体" w:cs="Times New Roman"/>
                      <w:szCs w:val="21"/>
                    </w:rPr>
                  </w:pPr>
                  <w:r>
                    <w:rPr>
                      <w:rFonts w:hint="eastAsia" w:ascii="宋体" w:hAnsi="宋体" w:eastAsia="宋体" w:cs="Times New Roman"/>
                      <w:szCs w:val="21"/>
                    </w:rPr>
                    <w:t xml:space="preserve">      7</w:t>
                  </w:r>
                </w:p>
              </w:tc>
              <w:tc>
                <w:tcPr>
                  <w:tcW w:w="1245" w:type="dxa"/>
                  <w:vAlign w:val="center"/>
                </w:tcPr>
                <w:p w14:paraId="3BAAFDE0">
                  <w:pPr>
                    <w:spacing w:line="320" w:lineRule="exact"/>
                    <w:jc w:val="center"/>
                    <w:rPr>
                      <w:rFonts w:hint="eastAsia" w:ascii="宋体" w:hAnsi="宋体" w:eastAsia="宋体" w:cs="Times New Roman"/>
                      <w:szCs w:val="21"/>
                    </w:rPr>
                  </w:pPr>
                  <w:r>
                    <w:rPr>
                      <w:rFonts w:hint="eastAsia" w:ascii="宋体" w:hAnsi="宋体" w:eastAsia="宋体" w:cs="Times New Roman"/>
                      <w:szCs w:val="21"/>
                    </w:rPr>
                    <w:t>大屏展示功能</w:t>
                  </w:r>
                </w:p>
              </w:tc>
              <w:tc>
                <w:tcPr>
                  <w:tcW w:w="7485" w:type="dxa"/>
                  <w:vAlign w:val="center"/>
                </w:tcPr>
                <w:p w14:paraId="29DA5185">
                  <w:pPr>
                    <w:spacing w:line="360" w:lineRule="auto"/>
                    <w:rPr>
                      <w:rFonts w:hint="eastAsia" w:ascii="宋体" w:hAnsi="宋体" w:eastAsia="宋体" w:cs="Arial"/>
                      <w:bCs/>
                      <w:szCs w:val="21"/>
                    </w:rPr>
                  </w:pPr>
                  <w:r>
                    <w:rPr>
                      <w:rFonts w:hint="eastAsia" w:ascii="宋体" w:hAnsi="宋体" w:eastAsia="宋体" w:cs="Arial"/>
                      <w:bCs/>
                      <w:szCs w:val="21"/>
                    </w:rPr>
                    <w:t>系统应支持将重要审方指标通过图表在用户大屏上展示。</w:t>
                  </w:r>
                </w:p>
              </w:tc>
            </w:tr>
          </w:tbl>
          <w:p w14:paraId="6F97DB5D">
            <w:pPr>
              <w:pStyle w:val="32"/>
              <w:spacing w:line="360" w:lineRule="auto"/>
              <w:ind w:left="0"/>
              <w:rPr>
                <w:rFonts w:hint="eastAsia" w:ascii="宋体" w:hAnsi="宋体" w:eastAsia="宋体"/>
              </w:rPr>
            </w:pPr>
          </w:p>
          <w:tbl>
            <w:tblPr>
              <w:tblStyle w:val="17"/>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45"/>
              <w:gridCol w:w="7470"/>
            </w:tblGrid>
            <w:tr w14:paraId="22E2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07F4DD59">
                  <w:pPr>
                    <w:spacing w:line="300" w:lineRule="exact"/>
                    <w:jc w:val="center"/>
                    <w:rPr>
                      <w:rFonts w:hint="eastAsia" w:ascii="宋体" w:hAnsi="宋体" w:eastAsia="宋体" w:cs="Times New Roman"/>
                      <w:sz w:val="20"/>
                      <w:szCs w:val="20"/>
                    </w:rPr>
                  </w:pPr>
                  <w:r>
                    <w:rPr>
                      <w:rFonts w:hint="eastAsia" w:ascii="宋体" w:hAnsi="宋体" w:eastAsia="宋体" w:cs="Times New Roman"/>
                      <w:sz w:val="20"/>
                      <w:szCs w:val="20"/>
                    </w:rPr>
                    <w:t>1</w:t>
                  </w:r>
                </w:p>
              </w:tc>
              <w:tc>
                <w:tcPr>
                  <w:tcW w:w="1245" w:type="dxa"/>
                  <w:vMerge w:val="restart"/>
                </w:tcPr>
                <w:p w14:paraId="59981462">
                  <w:pPr>
                    <w:spacing w:line="300" w:lineRule="exact"/>
                    <w:jc w:val="center"/>
                    <w:rPr>
                      <w:rFonts w:hint="eastAsia" w:ascii="宋体" w:hAnsi="宋体" w:eastAsia="宋体" w:cs="Arial"/>
                      <w:bCs/>
                      <w:szCs w:val="21"/>
                    </w:rPr>
                  </w:pPr>
                </w:p>
                <w:p w14:paraId="4FF002EA">
                  <w:pPr>
                    <w:spacing w:line="300" w:lineRule="exact"/>
                    <w:jc w:val="center"/>
                    <w:rPr>
                      <w:rFonts w:hint="eastAsia" w:ascii="宋体" w:hAnsi="宋体" w:eastAsia="宋体" w:cs="Arial"/>
                      <w:bCs/>
                      <w:szCs w:val="21"/>
                    </w:rPr>
                  </w:pPr>
                </w:p>
                <w:p w14:paraId="7A83D5F8">
                  <w:pPr>
                    <w:spacing w:line="300" w:lineRule="exact"/>
                    <w:jc w:val="center"/>
                    <w:rPr>
                      <w:rFonts w:hint="eastAsia" w:ascii="宋体" w:hAnsi="宋体" w:eastAsia="宋体" w:cs="Arial"/>
                      <w:bCs/>
                      <w:szCs w:val="21"/>
                    </w:rPr>
                  </w:pPr>
                </w:p>
                <w:p w14:paraId="14E07FC0">
                  <w:pPr>
                    <w:spacing w:line="300" w:lineRule="exact"/>
                    <w:jc w:val="center"/>
                    <w:rPr>
                      <w:rFonts w:hint="eastAsia" w:ascii="宋体" w:hAnsi="宋体" w:eastAsia="宋体" w:cs="Arial"/>
                      <w:bCs/>
                      <w:szCs w:val="21"/>
                    </w:rPr>
                  </w:pPr>
                </w:p>
                <w:p w14:paraId="4DDD8C21">
                  <w:pPr>
                    <w:spacing w:line="300" w:lineRule="exact"/>
                    <w:jc w:val="center"/>
                    <w:rPr>
                      <w:rFonts w:hint="eastAsia" w:ascii="宋体" w:hAnsi="宋体" w:eastAsia="宋体" w:cs="Arial"/>
                      <w:bCs/>
                      <w:szCs w:val="21"/>
                    </w:rPr>
                  </w:pPr>
                </w:p>
                <w:p w14:paraId="0BE3F026">
                  <w:pPr>
                    <w:spacing w:line="300" w:lineRule="exact"/>
                    <w:jc w:val="center"/>
                    <w:rPr>
                      <w:rFonts w:hint="eastAsia" w:ascii="宋体" w:hAnsi="宋体" w:eastAsia="宋体" w:cs="Arial"/>
                      <w:bCs/>
                      <w:szCs w:val="21"/>
                    </w:rPr>
                  </w:pPr>
                </w:p>
                <w:p w14:paraId="6501E299">
                  <w:pPr>
                    <w:spacing w:line="300" w:lineRule="exact"/>
                    <w:jc w:val="center"/>
                    <w:rPr>
                      <w:rFonts w:hint="eastAsia" w:ascii="宋体" w:hAnsi="宋体" w:eastAsia="宋体" w:cs="Arial"/>
                      <w:bCs/>
                      <w:szCs w:val="21"/>
                    </w:rPr>
                  </w:pPr>
                  <w:r>
                    <w:rPr>
                      <w:rFonts w:ascii="宋体" w:hAnsi="宋体" w:eastAsia="宋体" w:cs="Arial"/>
                      <w:bCs/>
                      <w:szCs w:val="21"/>
                    </w:rPr>
                    <w:t>★</w:t>
                  </w:r>
                  <w:r>
                    <w:rPr>
                      <w:rFonts w:hint="eastAsia" w:ascii="宋体" w:hAnsi="宋体" w:eastAsia="宋体" w:cs="Arial"/>
                      <w:bCs/>
                      <w:szCs w:val="21"/>
                    </w:rPr>
                    <w:t>基础</w:t>
                  </w:r>
                </w:p>
                <w:p w14:paraId="6024AECB">
                  <w:pPr>
                    <w:spacing w:line="300" w:lineRule="exact"/>
                    <w:jc w:val="center"/>
                    <w:rPr>
                      <w:rFonts w:hint="eastAsia" w:ascii="宋体" w:hAnsi="宋体" w:eastAsia="宋体" w:cs="Arial"/>
                      <w:bCs/>
                      <w:szCs w:val="21"/>
                    </w:rPr>
                  </w:pPr>
                  <w:r>
                    <w:rPr>
                      <w:rFonts w:hint="eastAsia" w:ascii="宋体" w:hAnsi="宋体" w:eastAsia="宋体" w:cs="Arial"/>
                      <w:bCs/>
                      <w:szCs w:val="21"/>
                    </w:rPr>
                    <w:t>要求</w:t>
                  </w:r>
                </w:p>
              </w:tc>
              <w:tc>
                <w:tcPr>
                  <w:tcW w:w="7470" w:type="dxa"/>
                  <w:vAlign w:val="center"/>
                </w:tcPr>
                <w:p w14:paraId="5530D660">
                  <w:pPr>
                    <w:spacing w:line="300" w:lineRule="exact"/>
                    <w:rPr>
                      <w:rFonts w:hint="eastAsia" w:ascii="宋体" w:hAnsi="宋体" w:eastAsia="宋体" w:cs="Arial"/>
                      <w:bCs/>
                      <w:szCs w:val="21"/>
                    </w:rPr>
                  </w:pPr>
                  <w:r>
                    <w:rPr>
                      <w:rFonts w:ascii="宋体" w:hAnsi="宋体" w:eastAsia="宋体" w:cs="Arial"/>
                      <w:bCs/>
                      <w:szCs w:val="21"/>
                    </w:rPr>
                    <w:t>与</w:t>
                  </w:r>
                  <w:r>
                    <w:rPr>
                      <w:rFonts w:hint="eastAsia" w:ascii="宋体" w:hAnsi="宋体" w:eastAsia="宋体" w:cs="Arial"/>
                      <w:bCs/>
                      <w:szCs w:val="21"/>
                    </w:rPr>
                    <w:t>自贡市第三人民医院</w:t>
                  </w:r>
                  <w:r>
                    <w:rPr>
                      <w:rFonts w:ascii="宋体" w:hAnsi="宋体" w:eastAsia="宋体" w:cs="Arial"/>
                      <w:bCs/>
                      <w:szCs w:val="21"/>
                    </w:rPr>
                    <w:t>现有前置审方系统</w:t>
                  </w:r>
                  <w:r>
                    <w:rPr>
                      <w:rFonts w:hint="eastAsia" w:ascii="宋体" w:hAnsi="宋体" w:eastAsia="宋体" w:cs="Arial"/>
                      <w:bCs/>
                      <w:szCs w:val="21"/>
                    </w:rPr>
                    <w:t>，合理用药系统</w:t>
                  </w:r>
                  <w:r>
                    <w:rPr>
                      <w:rFonts w:ascii="宋体" w:hAnsi="宋体" w:eastAsia="宋体" w:cs="Arial"/>
                      <w:bCs/>
                      <w:szCs w:val="21"/>
                    </w:rPr>
                    <w:t>（联系方式：028-85174760）无缝对接，药品审核规则保持一致，并与现有HIS系统无缝对接。应承诺中标后能做好与医院现有前置审方系统的对接工作，并能在实现数据利用的同时确保数据的安全。如果虚假承诺导致中标并签订合同，却无法实现者，除合同无效外，将被视为虚假应标，并被追究法律责任</w:t>
                  </w:r>
                </w:p>
                <w:p w14:paraId="4EDF3D5D">
                  <w:pPr>
                    <w:spacing w:line="300" w:lineRule="exact"/>
                    <w:rPr>
                      <w:rFonts w:hint="eastAsia" w:ascii="宋体" w:hAnsi="宋体" w:eastAsia="宋体" w:cs="Arial"/>
                      <w:bCs/>
                      <w:szCs w:val="21"/>
                    </w:rPr>
                  </w:pPr>
                  <w:r>
                    <w:rPr>
                      <w:rFonts w:ascii="宋体" w:hAnsi="宋体" w:eastAsia="宋体" w:cs="Arial"/>
                      <w:bCs/>
                      <w:szCs w:val="21"/>
                    </w:rPr>
                    <w:t>提供承诺函并加盖投标人公章；内容须体现投标人负责承担相关厂商协调义务及可能涉及的一切对接费用）</w:t>
                  </w:r>
                </w:p>
              </w:tc>
            </w:tr>
            <w:tr w14:paraId="392B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2A1F8414">
                  <w:pPr>
                    <w:spacing w:line="300" w:lineRule="exact"/>
                    <w:jc w:val="center"/>
                    <w:rPr>
                      <w:rFonts w:hint="eastAsia" w:ascii="宋体" w:hAnsi="宋体" w:eastAsia="宋体" w:cs="Times New Roman"/>
                      <w:sz w:val="20"/>
                      <w:szCs w:val="20"/>
                    </w:rPr>
                  </w:pPr>
                  <w:r>
                    <w:rPr>
                      <w:rFonts w:hint="eastAsia" w:ascii="宋体" w:hAnsi="宋体" w:eastAsia="宋体" w:cs="Times New Roman"/>
                      <w:sz w:val="20"/>
                      <w:szCs w:val="20"/>
                    </w:rPr>
                    <w:t>2</w:t>
                  </w:r>
                </w:p>
              </w:tc>
              <w:tc>
                <w:tcPr>
                  <w:tcW w:w="1245" w:type="dxa"/>
                  <w:vMerge w:val="continue"/>
                </w:tcPr>
                <w:p w14:paraId="5E62B51C">
                  <w:pPr>
                    <w:spacing w:line="300" w:lineRule="exact"/>
                    <w:rPr>
                      <w:rFonts w:hint="eastAsia" w:ascii="宋体" w:hAnsi="宋体" w:eastAsia="宋体" w:cs="Arial"/>
                      <w:bCs/>
                      <w:szCs w:val="21"/>
                    </w:rPr>
                  </w:pPr>
                </w:p>
              </w:tc>
              <w:tc>
                <w:tcPr>
                  <w:tcW w:w="7470" w:type="dxa"/>
                  <w:vAlign w:val="center"/>
                </w:tcPr>
                <w:p w14:paraId="0998BFB3">
                  <w:pPr>
                    <w:spacing w:line="300" w:lineRule="exact"/>
                    <w:rPr>
                      <w:rFonts w:hint="eastAsia" w:ascii="宋体" w:hAnsi="宋体" w:eastAsia="宋体" w:cs="Arial"/>
                      <w:bCs/>
                      <w:szCs w:val="21"/>
                    </w:rPr>
                  </w:pPr>
                  <w:r>
                    <w:rPr>
                      <w:rFonts w:ascii="宋体" w:hAnsi="宋体" w:eastAsia="宋体" w:cs="Arial"/>
                      <w:bCs/>
                      <w:szCs w:val="21"/>
                    </w:rPr>
                    <w:t>为减少实施工作量，本项目应支持从</w:t>
                  </w:r>
                  <w:r>
                    <w:rPr>
                      <w:rFonts w:hint="eastAsia" w:ascii="宋体" w:hAnsi="宋体" w:eastAsia="宋体" w:cs="Arial"/>
                      <w:bCs/>
                      <w:szCs w:val="21"/>
                    </w:rPr>
                    <w:t>自贡市第三人民医院</w:t>
                  </w:r>
                  <w:r>
                    <w:rPr>
                      <w:rFonts w:ascii="宋体" w:hAnsi="宋体" w:eastAsia="宋体" w:cs="Arial"/>
                      <w:bCs/>
                      <w:szCs w:val="21"/>
                    </w:rPr>
                    <w:t>现有</w:t>
                  </w:r>
                  <w:r>
                    <w:rPr>
                      <w:rFonts w:hint="eastAsia" w:ascii="宋体" w:hAnsi="宋体" w:eastAsia="宋体" w:cs="Arial"/>
                      <w:bCs/>
                      <w:szCs w:val="21"/>
                    </w:rPr>
                    <w:t>前置审方</w:t>
                  </w:r>
                  <w:r>
                    <w:rPr>
                      <w:rFonts w:ascii="宋体" w:hAnsi="宋体" w:eastAsia="宋体" w:cs="Arial"/>
                      <w:bCs/>
                      <w:szCs w:val="21"/>
                    </w:rPr>
                    <w:t>系统获取用药数据，并提供承诺函。</w:t>
                  </w:r>
                </w:p>
              </w:tc>
            </w:tr>
            <w:tr w14:paraId="0B65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295AD760">
                  <w:pPr>
                    <w:spacing w:line="300" w:lineRule="exact"/>
                    <w:jc w:val="center"/>
                    <w:rPr>
                      <w:rFonts w:hint="eastAsia" w:ascii="宋体" w:hAnsi="宋体" w:eastAsia="宋体" w:cs="Times New Roman"/>
                      <w:sz w:val="20"/>
                      <w:szCs w:val="20"/>
                    </w:rPr>
                  </w:pPr>
                  <w:r>
                    <w:rPr>
                      <w:rFonts w:hint="eastAsia" w:ascii="宋体" w:hAnsi="宋体" w:eastAsia="宋体" w:cs="Times New Roman"/>
                      <w:sz w:val="20"/>
                      <w:szCs w:val="20"/>
                    </w:rPr>
                    <w:t>3</w:t>
                  </w:r>
                </w:p>
              </w:tc>
              <w:tc>
                <w:tcPr>
                  <w:tcW w:w="1245" w:type="dxa"/>
                  <w:vMerge w:val="continue"/>
                </w:tcPr>
                <w:p w14:paraId="3543FB3E">
                  <w:pPr>
                    <w:spacing w:line="300" w:lineRule="exact"/>
                    <w:rPr>
                      <w:rFonts w:hint="eastAsia" w:ascii="宋体" w:hAnsi="宋体" w:eastAsia="宋体" w:cs="Arial"/>
                      <w:bCs/>
                      <w:szCs w:val="21"/>
                    </w:rPr>
                  </w:pPr>
                </w:p>
              </w:tc>
              <w:tc>
                <w:tcPr>
                  <w:tcW w:w="7470" w:type="dxa"/>
                  <w:vAlign w:val="center"/>
                </w:tcPr>
                <w:p w14:paraId="6CBFC4B3">
                  <w:pPr>
                    <w:spacing w:line="300" w:lineRule="exact"/>
                    <w:rPr>
                      <w:rFonts w:hint="eastAsia" w:ascii="宋体" w:hAnsi="宋体" w:eastAsia="宋体" w:cs="Arial"/>
                      <w:bCs/>
                      <w:szCs w:val="21"/>
                    </w:rPr>
                  </w:pPr>
                  <w:r>
                    <w:rPr>
                      <w:rFonts w:ascii="宋体" w:hAnsi="宋体" w:eastAsia="宋体" w:cs="Arial"/>
                      <w:bCs/>
                      <w:szCs w:val="21"/>
                    </w:rPr>
                    <w:t>为减少医生端反复操作，相关</w:t>
                  </w:r>
                  <w:r>
                    <w:rPr>
                      <w:rFonts w:hint="eastAsia" w:ascii="宋体" w:hAnsi="宋体" w:eastAsia="宋体" w:cs="Arial"/>
                      <w:bCs/>
                      <w:szCs w:val="21"/>
                    </w:rPr>
                    <w:t>前置审方系统</w:t>
                  </w:r>
                  <w:r>
                    <w:rPr>
                      <w:rFonts w:ascii="宋体" w:hAnsi="宋体" w:eastAsia="宋体" w:cs="Arial"/>
                      <w:bCs/>
                      <w:szCs w:val="21"/>
                    </w:rPr>
                    <w:t>提示应与</w:t>
                  </w:r>
                  <w:r>
                    <w:rPr>
                      <w:rFonts w:hint="eastAsia" w:ascii="宋体" w:hAnsi="宋体" w:eastAsia="宋体" w:cs="Arial"/>
                      <w:bCs/>
                      <w:szCs w:val="21"/>
                    </w:rPr>
                    <w:t>自贡市第三人民医院</w:t>
                  </w:r>
                  <w:r>
                    <w:rPr>
                      <w:rFonts w:ascii="宋体" w:hAnsi="宋体" w:eastAsia="宋体" w:cs="Arial"/>
                      <w:bCs/>
                      <w:szCs w:val="21"/>
                    </w:rPr>
                    <w:t>现有医生端</w:t>
                  </w:r>
                  <w:r>
                    <w:rPr>
                      <w:rFonts w:hint="eastAsia" w:ascii="宋体" w:hAnsi="宋体" w:eastAsia="宋体" w:cs="Arial"/>
                      <w:bCs/>
                      <w:szCs w:val="21"/>
                    </w:rPr>
                    <w:t>前置审方系统</w:t>
                  </w:r>
                  <w:r>
                    <w:rPr>
                      <w:rFonts w:ascii="宋体" w:hAnsi="宋体" w:eastAsia="宋体" w:cs="Arial"/>
                      <w:bCs/>
                      <w:szCs w:val="21"/>
                    </w:rPr>
                    <w:t>整合，并提供承诺函。</w:t>
                  </w:r>
                </w:p>
              </w:tc>
            </w:tr>
            <w:tr w14:paraId="193E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1C8D1D19">
                  <w:pPr>
                    <w:spacing w:line="300" w:lineRule="exact"/>
                    <w:jc w:val="center"/>
                    <w:rPr>
                      <w:rFonts w:hint="eastAsia" w:ascii="宋体" w:hAnsi="宋体" w:eastAsia="宋体" w:cs="Times New Roman"/>
                      <w:sz w:val="20"/>
                      <w:szCs w:val="20"/>
                    </w:rPr>
                  </w:pPr>
                  <w:r>
                    <w:rPr>
                      <w:rFonts w:hint="eastAsia" w:ascii="宋体" w:hAnsi="宋体" w:eastAsia="宋体" w:cs="Times New Roman"/>
                      <w:sz w:val="20"/>
                      <w:szCs w:val="20"/>
                    </w:rPr>
                    <w:t>4</w:t>
                  </w:r>
                </w:p>
              </w:tc>
              <w:tc>
                <w:tcPr>
                  <w:tcW w:w="1245" w:type="dxa"/>
                  <w:vMerge w:val="continue"/>
                </w:tcPr>
                <w:p w14:paraId="79944A3B">
                  <w:pPr>
                    <w:spacing w:line="300" w:lineRule="exact"/>
                    <w:rPr>
                      <w:rFonts w:hint="eastAsia" w:ascii="宋体" w:hAnsi="宋体" w:eastAsia="宋体" w:cs="Arial"/>
                      <w:bCs/>
                      <w:szCs w:val="21"/>
                    </w:rPr>
                  </w:pPr>
                </w:p>
              </w:tc>
              <w:tc>
                <w:tcPr>
                  <w:tcW w:w="7470" w:type="dxa"/>
                  <w:vAlign w:val="center"/>
                </w:tcPr>
                <w:p w14:paraId="268484F4">
                  <w:pPr>
                    <w:spacing w:line="300" w:lineRule="exact"/>
                    <w:rPr>
                      <w:rFonts w:hint="eastAsia" w:ascii="宋体" w:hAnsi="宋体" w:eastAsia="宋体" w:cs="Arial"/>
                      <w:bCs/>
                      <w:szCs w:val="21"/>
                    </w:rPr>
                  </w:pPr>
                  <w:r>
                    <w:rPr>
                      <w:rFonts w:ascii="宋体" w:hAnsi="宋体" w:eastAsia="宋体" w:cs="Arial"/>
                      <w:bCs/>
                      <w:szCs w:val="21"/>
                    </w:rPr>
                    <w:t>为减少药师端反复操作，可根据本项目需要获取</w:t>
                  </w:r>
                  <w:r>
                    <w:rPr>
                      <w:rFonts w:hint="eastAsia" w:ascii="宋体" w:hAnsi="宋体" w:eastAsia="宋体" w:cs="Arial"/>
                      <w:bCs/>
                      <w:szCs w:val="21"/>
                    </w:rPr>
                    <w:t>自贡市第三人民医院前置审方</w:t>
                  </w:r>
                  <w:r>
                    <w:rPr>
                      <w:rFonts w:ascii="宋体" w:hAnsi="宋体" w:eastAsia="宋体" w:cs="Arial"/>
                      <w:bCs/>
                      <w:szCs w:val="21"/>
                    </w:rPr>
                    <w:t>系统中维护的药品基础数据，并提供承诺函。</w:t>
                  </w:r>
                </w:p>
              </w:tc>
            </w:tr>
            <w:tr w14:paraId="1D8A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7E09EE5E">
                  <w:pPr>
                    <w:spacing w:line="300" w:lineRule="exact"/>
                    <w:jc w:val="center"/>
                    <w:rPr>
                      <w:rFonts w:hint="eastAsia" w:ascii="宋体" w:hAnsi="宋体" w:eastAsia="宋体" w:cs="Times New Roman"/>
                      <w:sz w:val="20"/>
                      <w:szCs w:val="20"/>
                    </w:rPr>
                  </w:pPr>
                  <w:r>
                    <w:rPr>
                      <w:rFonts w:hint="eastAsia" w:ascii="宋体" w:hAnsi="宋体" w:eastAsia="宋体" w:cs="Times New Roman"/>
                      <w:sz w:val="20"/>
                      <w:szCs w:val="20"/>
                    </w:rPr>
                    <w:t>5</w:t>
                  </w:r>
                </w:p>
              </w:tc>
              <w:tc>
                <w:tcPr>
                  <w:tcW w:w="1245" w:type="dxa"/>
                  <w:vMerge w:val="continue"/>
                </w:tcPr>
                <w:p w14:paraId="3C1B22FC">
                  <w:pPr>
                    <w:spacing w:line="300" w:lineRule="exact"/>
                    <w:rPr>
                      <w:rFonts w:hint="eastAsia" w:ascii="宋体" w:hAnsi="宋体" w:eastAsia="宋体" w:cs="Arial"/>
                      <w:bCs/>
                      <w:szCs w:val="21"/>
                    </w:rPr>
                  </w:pPr>
                </w:p>
              </w:tc>
              <w:tc>
                <w:tcPr>
                  <w:tcW w:w="7470" w:type="dxa"/>
                  <w:vAlign w:val="center"/>
                </w:tcPr>
                <w:p w14:paraId="37FEB6B7">
                  <w:pPr>
                    <w:spacing w:line="300" w:lineRule="exact"/>
                    <w:rPr>
                      <w:rFonts w:hint="eastAsia" w:ascii="宋体" w:hAnsi="宋体" w:eastAsia="宋体" w:cs="Arial"/>
                      <w:bCs/>
                      <w:szCs w:val="21"/>
                    </w:rPr>
                  </w:pPr>
                  <w:r>
                    <w:rPr>
                      <w:rFonts w:hint="eastAsia" w:ascii="宋体" w:hAnsi="宋体" w:eastAsia="宋体" w:cs="Arial"/>
                      <w:bCs/>
                      <w:szCs w:val="21"/>
                    </w:rPr>
                    <w:t>4家基层医院HIS对接 （省基层卫生信息系统）</w:t>
                  </w:r>
                </w:p>
              </w:tc>
            </w:tr>
          </w:tbl>
          <w:p w14:paraId="541E3B31">
            <w:pPr>
              <w:pStyle w:val="32"/>
              <w:spacing w:line="380" w:lineRule="exact"/>
              <w:ind w:left="0"/>
              <w:rPr>
                <w:rFonts w:hint="eastAsia" w:ascii="宋体" w:hAnsi="宋体" w:eastAsia="宋体" w:cs="宋体"/>
                <w:b/>
                <w:bCs/>
                <w:sz w:val="24"/>
              </w:rPr>
            </w:pPr>
            <w:r>
              <w:rPr>
                <w:rFonts w:hint="eastAsia" w:ascii="宋体" w:hAnsi="宋体" w:eastAsia="宋体" w:cs="宋体"/>
                <w:b/>
                <w:bCs/>
                <w:sz w:val="24"/>
              </w:rPr>
              <w:t>功能概述</w:t>
            </w:r>
          </w:p>
          <w:p w14:paraId="67272B55">
            <w:pPr>
              <w:pStyle w:val="32"/>
              <w:spacing w:line="380" w:lineRule="exact"/>
              <w:ind w:left="0"/>
              <w:rPr>
                <w:rFonts w:hint="eastAsia" w:ascii="宋体" w:hAnsi="宋体" w:cs="宋体"/>
                <w:sz w:val="24"/>
              </w:rPr>
            </w:pPr>
            <w:r>
              <w:rPr>
                <w:rFonts w:hint="eastAsia" w:ascii="宋体" w:hAnsi="宋体" w:cs="宋体"/>
                <w:sz w:val="24"/>
              </w:rPr>
              <w:t>1.支持系统管理员根据医联体设置医疗机构管理范围，实现区域内医疗机构管理权限分级管理。</w:t>
            </w:r>
          </w:p>
          <w:p w14:paraId="13C30B11">
            <w:pPr>
              <w:pStyle w:val="32"/>
              <w:spacing w:line="380" w:lineRule="exact"/>
              <w:ind w:left="0"/>
              <w:rPr>
                <w:rFonts w:hint="eastAsia" w:ascii="宋体" w:hAnsi="宋体" w:cs="宋体"/>
                <w:sz w:val="24"/>
              </w:rPr>
            </w:pPr>
            <w:r>
              <w:rPr>
                <w:rFonts w:hint="eastAsia" w:ascii="宋体" w:hAnsi="宋体" w:cs="宋体"/>
                <w:sz w:val="24"/>
              </w:rPr>
              <w:t>2.支持区域内医疗机构管理员设置院内不同用户的系统功能使用权限，实现功能权限分级管理。</w:t>
            </w:r>
          </w:p>
          <w:p w14:paraId="787D2010">
            <w:pPr>
              <w:pStyle w:val="40"/>
              <w:jc w:val="both"/>
              <w:rPr>
                <w:rFonts w:ascii="宋体" w:hAnsi="宋体" w:cs="宋体"/>
                <w:kern w:val="2"/>
                <w:sz w:val="24"/>
                <w:szCs w:val="24"/>
              </w:rPr>
            </w:pPr>
            <w:r>
              <w:rPr>
                <w:rFonts w:ascii="宋体" w:hAnsi="宋体" w:cs="宋体"/>
                <w:kern w:val="2"/>
                <w:sz w:val="24"/>
                <w:szCs w:val="24"/>
              </w:rPr>
              <w:t>3.支持区域内医疗机构院内不同用户根据权限，维护管辖范围内医疗机构审查规则，可发挥审方、点评、干预等相关功能。</w:t>
            </w:r>
          </w:p>
        </w:tc>
      </w:tr>
    </w:tbl>
    <w:p w14:paraId="06720F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A2A9B"/>
    <w:multiLevelType w:val="multilevel"/>
    <w:tmpl w:val="044A2A9B"/>
    <w:lvl w:ilvl="0" w:tentative="0">
      <w:start w:val="1"/>
      <w:numFmt w:val="decimal"/>
      <w:lvlText w:val="7.%1"/>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7409FA"/>
    <w:multiLevelType w:val="multilevel"/>
    <w:tmpl w:val="047409FA"/>
    <w:lvl w:ilvl="0" w:tentative="0">
      <w:start w:val="1"/>
      <w:numFmt w:val="decimal"/>
      <w:lvlText w:val="%1"/>
      <w:lvlJc w:val="left"/>
      <w:pPr>
        <w:ind w:left="360" w:hanging="360"/>
      </w:pPr>
      <w:rPr>
        <w:rFonts w:hint="default"/>
      </w:rPr>
    </w:lvl>
    <w:lvl w:ilvl="1" w:tentative="0">
      <w:start w:val="1"/>
      <w:numFmt w:val="decimal"/>
      <w:lvlText w:val="1.%2"/>
      <w:lvlJc w:val="left"/>
      <w:rPr>
        <w:rFonts w:hint="eastAsia"/>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157F625E"/>
    <w:multiLevelType w:val="multilevel"/>
    <w:tmpl w:val="157F625E"/>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81748D"/>
    <w:multiLevelType w:val="multilevel"/>
    <w:tmpl w:val="1781748D"/>
    <w:lvl w:ilvl="0" w:tentative="0">
      <w:start w:val="1"/>
      <w:numFmt w:val="decimal"/>
      <w:lvlText w:val="6.%1"/>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AF10EB"/>
    <w:multiLevelType w:val="multilevel"/>
    <w:tmpl w:val="27AF10EB"/>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2FB72B2"/>
    <w:multiLevelType w:val="multilevel"/>
    <w:tmpl w:val="32FB72B2"/>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906B61"/>
    <w:multiLevelType w:val="multilevel"/>
    <w:tmpl w:val="3A906B61"/>
    <w:lvl w:ilvl="0" w:tentative="0">
      <w:start w:val="1"/>
      <w:numFmt w:val="decimal"/>
      <w:lvlText w:val="4.%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2306C11"/>
    <w:multiLevelType w:val="multilevel"/>
    <w:tmpl w:val="42306C11"/>
    <w:lvl w:ilvl="0" w:tentative="0">
      <w:start w:val="1"/>
      <w:numFmt w:val="decimal"/>
      <w:lvlText w:val="(%1)"/>
      <w:lvlJc w:val="left"/>
      <w:pPr>
        <w:ind w:left="704" w:hanging="420"/>
      </w:pPr>
      <w:rPr>
        <w:rFonts w:hint="eastAsia" w:ascii="宋体" w:eastAsia="宋体"/>
        <w:b w:val="0"/>
        <w:i w:val="0"/>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684F7082"/>
    <w:multiLevelType w:val="multilevel"/>
    <w:tmpl w:val="684F7082"/>
    <w:lvl w:ilvl="0" w:tentative="0">
      <w:start w:val="1"/>
      <w:numFmt w:val="decimal"/>
      <w:lvlText w:val="%1."/>
      <w:lvlJc w:val="left"/>
      <w:pPr>
        <w:ind w:left="840" w:hanging="420"/>
      </w:pPr>
      <w:rPr>
        <w:rFonts w:hint="eastAsia"/>
      </w:rPr>
    </w:lvl>
    <w:lvl w:ilvl="1" w:tentative="0">
      <w:start w:val="0"/>
      <w:numFmt w:val="bullet"/>
      <w:lvlText w:val="▲"/>
      <w:lvlJc w:val="left"/>
      <w:pPr>
        <w:ind w:left="349" w:hanging="360"/>
      </w:pPr>
      <w:rPr>
        <w:rFonts w:hint="eastAsia" w:ascii="宋体" w:hAnsi="宋体" w:eastAsia="宋体" w:cs="Arial"/>
      </w:rPr>
    </w:lvl>
    <w:lvl w:ilvl="2" w:tentative="0">
      <w:start w:val="1"/>
      <w:numFmt w:val="lowerRoman"/>
      <w:lvlText w:val="%3."/>
      <w:lvlJc w:val="right"/>
      <w:pPr>
        <w:ind w:left="829" w:hanging="420"/>
      </w:pPr>
    </w:lvl>
    <w:lvl w:ilvl="3" w:tentative="0">
      <w:start w:val="1"/>
      <w:numFmt w:val="decimal"/>
      <w:lvlText w:val="%4."/>
      <w:lvlJc w:val="left"/>
      <w:pPr>
        <w:ind w:left="1249" w:hanging="420"/>
      </w:pPr>
    </w:lvl>
    <w:lvl w:ilvl="4" w:tentative="0">
      <w:start w:val="1"/>
      <w:numFmt w:val="lowerLetter"/>
      <w:lvlText w:val="%5)"/>
      <w:lvlJc w:val="left"/>
      <w:pPr>
        <w:ind w:left="1669" w:hanging="420"/>
      </w:pPr>
    </w:lvl>
    <w:lvl w:ilvl="5" w:tentative="0">
      <w:start w:val="1"/>
      <w:numFmt w:val="lowerRoman"/>
      <w:lvlText w:val="%6."/>
      <w:lvlJc w:val="right"/>
      <w:pPr>
        <w:ind w:left="2089" w:hanging="420"/>
      </w:pPr>
    </w:lvl>
    <w:lvl w:ilvl="6" w:tentative="0">
      <w:start w:val="1"/>
      <w:numFmt w:val="decimal"/>
      <w:lvlText w:val="%7."/>
      <w:lvlJc w:val="left"/>
      <w:pPr>
        <w:ind w:left="2509" w:hanging="420"/>
      </w:pPr>
    </w:lvl>
    <w:lvl w:ilvl="7" w:tentative="0">
      <w:start w:val="1"/>
      <w:numFmt w:val="lowerLetter"/>
      <w:lvlText w:val="%8)"/>
      <w:lvlJc w:val="left"/>
      <w:pPr>
        <w:ind w:left="2929" w:hanging="420"/>
      </w:pPr>
    </w:lvl>
    <w:lvl w:ilvl="8" w:tentative="0">
      <w:start w:val="1"/>
      <w:numFmt w:val="lowerRoman"/>
      <w:lvlText w:val="%9."/>
      <w:lvlJc w:val="right"/>
      <w:pPr>
        <w:ind w:left="3349" w:hanging="420"/>
      </w:pPr>
    </w:lvl>
  </w:abstractNum>
  <w:num w:numId="1">
    <w:abstractNumId w:val="1"/>
  </w:num>
  <w:num w:numId="2">
    <w:abstractNumId w:val="5"/>
  </w:num>
  <w:num w:numId="3">
    <w:abstractNumId w:val="3"/>
  </w:num>
  <w:num w:numId="4">
    <w:abstractNumId w:val="2"/>
  </w:num>
  <w:num w:numId="5">
    <w:abstractNumId w:val="8"/>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4D"/>
    <w:rsid w:val="000020AA"/>
    <w:rsid w:val="00014932"/>
    <w:rsid w:val="0008628C"/>
    <w:rsid w:val="000B40D1"/>
    <w:rsid w:val="000D0782"/>
    <w:rsid w:val="0013747D"/>
    <w:rsid w:val="00166865"/>
    <w:rsid w:val="001D4948"/>
    <w:rsid w:val="001F59E4"/>
    <w:rsid w:val="00272583"/>
    <w:rsid w:val="00294314"/>
    <w:rsid w:val="002D65B6"/>
    <w:rsid w:val="002F3418"/>
    <w:rsid w:val="00314BE0"/>
    <w:rsid w:val="003F7276"/>
    <w:rsid w:val="0040178A"/>
    <w:rsid w:val="00406AA4"/>
    <w:rsid w:val="004251C6"/>
    <w:rsid w:val="00496430"/>
    <w:rsid w:val="004A353D"/>
    <w:rsid w:val="004F097E"/>
    <w:rsid w:val="004F6D53"/>
    <w:rsid w:val="00506A67"/>
    <w:rsid w:val="005145F4"/>
    <w:rsid w:val="00562A02"/>
    <w:rsid w:val="005F480B"/>
    <w:rsid w:val="00617301"/>
    <w:rsid w:val="00706B11"/>
    <w:rsid w:val="00733ACE"/>
    <w:rsid w:val="00740918"/>
    <w:rsid w:val="0074766B"/>
    <w:rsid w:val="007B3EAD"/>
    <w:rsid w:val="007F6D60"/>
    <w:rsid w:val="00802B5B"/>
    <w:rsid w:val="008B3231"/>
    <w:rsid w:val="009A31D8"/>
    <w:rsid w:val="00A56F1F"/>
    <w:rsid w:val="00A66125"/>
    <w:rsid w:val="00AC7BC5"/>
    <w:rsid w:val="00B657D7"/>
    <w:rsid w:val="00BC624D"/>
    <w:rsid w:val="00BF1704"/>
    <w:rsid w:val="00BF33CB"/>
    <w:rsid w:val="00C256A8"/>
    <w:rsid w:val="00C40DB5"/>
    <w:rsid w:val="00C80C3F"/>
    <w:rsid w:val="00CA1877"/>
    <w:rsid w:val="00CE7FD5"/>
    <w:rsid w:val="00D021E4"/>
    <w:rsid w:val="00D05086"/>
    <w:rsid w:val="00D40B12"/>
    <w:rsid w:val="00D66077"/>
    <w:rsid w:val="00DF56C8"/>
    <w:rsid w:val="00E26CC8"/>
    <w:rsid w:val="00E9045F"/>
    <w:rsid w:val="00ED7926"/>
    <w:rsid w:val="00FE3C7D"/>
    <w:rsid w:val="019C3C0D"/>
    <w:rsid w:val="03F55A09"/>
    <w:rsid w:val="04A2463D"/>
    <w:rsid w:val="133665C9"/>
    <w:rsid w:val="15997E66"/>
    <w:rsid w:val="1C355A38"/>
    <w:rsid w:val="1FFD2CE5"/>
    <w:rsid w:val="2D104A12"/>
    <w:rsid w:val="34460947"/>
    <w:rsid w:val="36873949"/>
    <w:rsid w:val="3DF82B20"/>
    <w:rsid w:val="48C16AB5"/>
    <w:rsid w:val="4F4C439C"/>
    <w:rsid w:val="586200DD"/>
    <w:rsid w:val="5F152CEF"/>
    <w:rsid w:val="68383289"/>
    <w:rsid w:val="69F71855"/>
    <w:rsid w:val="72D86AFD"/>
    <w:rsid w:val="741E79F2"/>
    <w:rsid w:val="7AF91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2"/>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37609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basedOn w:val="1"/>
    <w:link w:val="39"/>
    <w:semiHidden/>
    <w:unhideWhenUsed/>
    <w:qFormat/>
    <w:uiPriority w:val="99"/>
    <w:pPr>
      <w:spacing w:after="120"/>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37609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2">
    <w:name w:val="标题 4 字符"/>
    <w:basedOn w:val="18"/>
    <w:link w:val="5"/>
    <w:qFormat/>
    <w:uiPriority w:val="9"/>
    <w:rPr>
      <w:rFonts w:cstheme="majorBidi"/>
      <w:color w:val="376092" w:themeColor="accent1" w:themeShade="BF"/>
      <w:sz w:val="28"/>
      <w:szCs w:val="28"/>
    </w:rPr>
  </w:style>
  <w:style w:type="character" w:customStyle="1" w:styleId="23">
    <w:name w:val="标题 5 字符"/>
    <w:basedOn w:val="18"/>
    <w:link w:val="6"/>
    <w:semiHidden/>
    <w:qFormat/>
    <w:uiPriority w:val="9"/>
    <w:rPr>
      <w:rFonts w:cstheme="majorBidi"/>
      <w:color w:val="376092" w:themeColor="accent1" w:themeShade="BF"/>
      <w:sz w:val="24"/>
      <w:szCs w:val="24"/>
    </w:rPr>
  </w:style>
  <w:style w:type="character" w:customStyle="1" w:styleId="24">
    <w:name w:val="标题 6 字符"/>
    <w:basedOn w:val="18"/>
    <w:link w:val="7"/>
    <w:semiHidden/>
    <w:qFormat/>
    <w:uiPriority w:val="9"/>
    <w:rPr>
      <w:rFonts w:cstheme="majorBidi"/>
      <w:b/>
      <w:bCs/>
      <w:color w:val="37609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link w:val="41"/>
    <w:qFormat/>
    <w:uiPriority w:val="34"/>
    <w:pPr>
      <w:ind w:left="720"/>
      <w:contextualSpacing/>
    </w:pPr>
  </w:style>
  <w:style w:type="character" w:customStyle="1" w:styleId="33">
    <w:name w:val="明显强调1"/>
    <w:basedOn w:val="18"/>
    <w:qFormat/>
    <w:uiPriority w:val="21"/>
    <w:rPr>
      <w:i/>
      <w:iCs/>
      <w:color w:val="376092" w:themeColor="accent1" w:themeShade="BF"/>
    </w:rPr>
  </w:style>
  <w:style w:type="paragraph" w:styleId="34">
    <w:name w:val="Intense Quote"/>
    <w:basedOn w:val="1"/>
    <w:next w:val="1"/>
    <w:link w:val="3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5">
    <w:name w:val="明显引用 字符"/>
    <w:basedOn w:val="18"/>
    <w:link w:val="34"/>
    <w:qFormat/>
    <w:uiPriority w:val="30"/>
    <w:rPr>
      <w:i/>
      <w:iCs/>
      <w:color w:val="376092" w:themeColor="accent1" w:themeShade="BF"/>
    </w:rPr>
  </w:style>
  <w:style w:type="character" w:customStyle="1" w:styleId="36">
    <w:name w:val="明显参考1"/>
    <w:basedOn w:val="18"/>
    <w:qFormat/>
    <w:uiPriority w:val="32"/>
    <w:rPr>
      <w:b/>
      <w:bCs/>
      <w:smallCaps/>
      <w:color w:val="376092"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character" w:customStyle="1" w:styleId="39">
    <w:name w:val="正文文本 字符"/>
    <w:basedOn w:val="18"/>
    <w:link w:val="11"/>
    <w:semiHidden/>
    <w:qFormat/>
    <w:uiPriority w:val="99"/>
    <w:rPr>
      <w:szCs w:val="24"/>
    </w:rPr>
  </w:style>
  <w:style w:type="paragraph" w:customStyle="1" w:styleId="40">
    <w:name w:val="null3"/>
    <w:hidden/>
    <w:qFormat/>
    <w:uiPriority w:val="0"/>
    <w:rPr>
      <w:rFonts w:hint="eastAsia" w:asciiTheme="minorHAnsi" w:hAnsiTheme="minorHAnsi" w:eastAsiaTheme="minorEastAsia" w:cstheme="minorBidi"/>
      <w:lang w:val="en-US" w:eastAsia="zh-CN" w:bidi="ar-SA"/>
    </w:rPr>
  </w:style>
  <w:style w:type="character" w:customStyle="1" w:styleId="41">
    <w:name w:val="列表段落 字符"/>
    <w:basedOn w:val="18"/>
    <w:link w:val="32"/>
    <w:qFormat/>
    <w:uiPriority w:val="34"/>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4763</Words>
  <Characters>4829</Characters>
  <Lines>142</Lines>
  <Paragraphs>140</Paragraphs>
  <TotalTime>10</TotalTime>
  <ScaleCrop>false</ScaleCrop>
  <LinksUpToDate>false</LinksUpToDate>
  <CharactersWithSpaces>4877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2025-06-05T07:37:00Z</dcterms:created>
  <dc:creator>朱中啸</dc:creator>
  <cp:lastModifiedBy>木子</cp:lastModifiedBy>
  <dcterms:modified xsi:type="dcterms:W3CDTF">2025-07-11T01:29:27Z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14B5BCB4640B42EF95BA11C97EF92FCF_13</vt:lpwstr>
  </property>
  <property fmtid="{D5CDD505-2E9C-101B-9397-08002B2CF9AE}" pid="4" name="KSOTemplateDocerSaveRecord">
    <vt:lpwstr>eyJoZGlkIjoiNThlNjEwOTFkN2NkYjE1Y2UwYzM4ZGRiZTAwM2FkYzEiLCJ1c2VySWQiOiI4Mjc5Nzk0NDgifQ==</vt:lpwstr>
  </property>
</Properties>
</file>