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203F4">
      <w:pPr>
        <w:pStyle w:val="3"/>
        <w:numPr>
          <w:ilvl w:val="0"/>
          <w:numId w:val="2"/>
        </w:numPr>
        <w:bidi w:val="0"/>
        <w:rPr>
          <w:rFonts w:hint="eastAsia"/>
          <w:color w:val="auto"/>
          <w:sz w:val="30"/>
          <w:szCs w:val="30"/>
          <w:lang w:val="en-US" w:eastAsia="zh-CN"/>
        </w:rPr>
      </w:pPr>
      <w:r>
        <w:rPr>
          <w:rFonts w:hint="eastAsia"/>
          <w:color w:val="auto"/>
          <w:sz w:val="30"/>
          <w:szCs w:val="30"/>
          <w:lang w:val="en-US" w:eastAsia="zh-CN"/>
        </w:rPr>
        <w:t>项目概述</w:t>
      </w:r>
    </w:p>
    <w:p w14:paraId="591CB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根据《中华人民共和国计算机信息系统安全保护条例》《中华人民共和国网络安全法》等法律法规的相关规定，自贡市第三人民医院现需采购网络安全等级保护测评服务，以确保医院安全防护水平达到信息系统安全等级保护相应能力的要求。</w:t>
      </w:r>
    </w:p>
    <w:p w14:paraId="10ECC123">
      <w:pPr>
        <w:pStyle w:val="3"/>
        <w:numPr>
          <w:ilvl w:val="0"/>
          <w:numId w:val="2"/>
        </w:numPr>
        <w:bidi w:val="0"/>
        <w:rPr>
          <w:rFonts w:hint="eastAsia"/>
          <w:color w:val="auto"/>
          <w:sz w:val="30"/>
          <w:szCs w:val="30"/>
          <w:lang w:val="en-US" w:eastAsia="zh-CN"/>
        </w:rPr>
      </w:pPr>
      <w:r>
        <w:rPr>
          <w:rFonts w:hint="eastAsia"/>
          <w:color w:val="auto"/>
          <w:sz w:val="30"/>
          <w:szCs w:val="30"/>
          <w:lang w:val="en-US" w:eastAsia="zh-CN"/>
        </w:rPr>
        <w:t>测评对象</w:t>
      </w:r>
    </w:p>
    <w:tbl>
      <w:tblPr>
        <w:tblStyle w:val="7"/>
        <w:tblW w:w="8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817"/>
        <w:gridCol w:w="1825"/>
        <w:gridCol w:w="2710"/>
      </w:tblGrid>
      <w:tr w14:paraId="085E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vAlign w:val="center"/>
          </w:tcPr>
          <w:p w14:paraId="7783F146">
            <w:pPr>
              <w:pStyle w:val="1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817" w:type="dxa"/>
            <w:vAlign w:val="center"/>
          </w:tcPr>
          <w:p w14:paraId="6EE80D60">
            <w:pPr>
              <w:pStyle w:val="1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系统名称</w:t>
            </w:r>
          </w:p>
        </w:tc>
        <w:tc>
          <w:tcPr>
            <w:tcW w:w="1825" w:type="dxa"/>
            <w:vAlign w:val="center"/>
          </w:tcPr>
          <w:p w14:paraId="5A550221">
            <w:pPr>
              <w:pStyle w:val="1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系统等级</w:t>
            </w:r>
          </w:p>
        </w:tc>
        <w:tc>
          <w:tcPr>
            <w:tcW w:w="2710" w:type="dxa"/>
            <w:vAlign w:val="center"/>
          </w:tcPr>
          <w:p w14:paraId="374060F1">
            <w:pPr>
              <w:pStyle w:val="1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测评地点</w:t>
            </w:r>
          </w:p>
        </w:tc>
      </w:tr>
      <w:tr w14:paraId="1E18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vAlign w:val="center"/>
          </w:tcPr>
          <w:p w14:paraId="252DB61B">
            <w:pPr>
              <w:pStyle w:val="1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17" w:type="dxa"/>
            <w:vAlign w:val="center"/>
          </w:tcPr>
          <w:p w14:paraId="43CCE927">
            <w:pPr>
              <w:spacing w:line="360" w:lineRule="auto"/>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核心业务系统</w:t>
            </w:r>
          </w:p>
        </w:tc>
        <w:tc>
          <w:tcPr>
            <w:tcW w:w="1825" w:type="dxa"/>
            <w:vAlign w:val="center"/>
          </w:tcPr>
          <w:p w14:paraId="1BD721E0">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Hans"/>
              </w:rPr>
              <w:t>三级</w:t>
            </w:r>
          </w:p>
        </w:tc>
        <w:tc>
          <w:tcPr>
            <w:tcW w:w="2710" w:type="dxa"/>
            <w:vAlign w:val="center"/>
          </w:tcPr>
          <w:p w14:paraId="60E16DD3">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自贡市第三人民医院</w:t>
            </w:r>
          </w:p>
        </w:tc>
      </w:tr>
    </w:tbl>
    <w:p w14:paraId="624EFEF5">
      <w:pPr>
        <w:pStyle w:val="3"/>
        <w:bidi w:val="0"/>
        <w:rPr>
          <w:rFonts w:hint="eastAsia"/>
          <w:color w:val="auto"/>
          <w:sz w:val="30"/>
          <w:szCs w:val="30"/>
          <w:lang w:val="en-US" w:eastAsia="zh-CN"/>
        </w:rPr>
      </w:pPr>
      <w:r>
        <w:rPr>
          <w:rFonts w:hint="eastAsia"/>
          <w:color w:val="auto"/>
          <w:sz w:val="30"/>
          <w:szCs w:val="30"/>
          <w:lang w:val="en-US" w:eastAsia="zh-CN"/>
        </w:rPr>
        <w:t>三、技术参数</w:t>
      </w:r>
    </w:p>
    <w:tbl>
      <w:tblPr>
        <w:tblStyle w:val="7"/>
        <w:tblW w:w="8307"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777"/>
        <w:gridCol w:w="5750"/>
      </w:tblGrid>
      <w:tr w14:paraId="3A24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333FC7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77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28C86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内容</w:t>
            </w:r>
          </w:p>
        </w:tc>
        <w:tc>
          <w:tcPr>
            <w:tcW w:w="575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66D7F0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技术要求</w:t>
            </w:r>
          </w:p>
        </w:tc>
      </w:tr>
      <w:tr w14:paraId="1B2D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98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9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测评内容</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72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1、安全物理环境</w:t>
            </w:r>
          </w:p>
          <w:p w14:paraId="4CF6D6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物理安全测评是对信息系统的机房和办公场所的物理位置选择、物理访问控制、防盗窃和防破坏、防雷击、防火、防水和防潮、防静电、温湿度控制、电力供应、电磁防护等方面的安全状况。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2、安全通信网络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网络安全测评是对信息系统的网络系统安全防护情况进行测评，包括网络结构安全、网络访问控制、网络安全审计、网络边界完整性测评、网络入侵防范、网络恶意代码防范、网络设备防护等方面的安全状况。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3、安全区域边界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安全区域边界是对信息系统的边界防护、访问控制、入侵防范、恶意代码和垃圾邮件防范、安全审计、可信验证等方面的安全状况。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4、安全计算环境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安全计算环境是对信息系统的身份鉴别、访问控制、安全审计、入侵防范、恶意代码防范、可信验证、数据完整性、数据保密性、数据备份恢复、剩余信息保护、个人信息保护等方面的安全状况。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5、安全管理中心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安全管理中心是对信息系统的系统管理、审计管理、安全管理、集中管控进行测评。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6、安全管理制度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安全管理制度测评是对信息系统的安全策略、管理制度、制定和发布、评审和修订等情况进行测评。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7、安全管理机构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安全管理机构测评是对信息系统的岗位设置、人员配备、授权与审批、沟通和合作、审核和检查等情况进行测评。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8、安全管理人员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人员安全管理测评是对信息系统相关内部人员的人员录用、人员离岗安全意识教育和培训、外部人员访问管理等情况进行测评。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9、安全建设管理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系统建设管理测评是对信息系统建设过程中的、测试验收、系统交付、等级测评服务投标人管理等情况进行测评。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10、安全运维管理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系统运维管理测评是对信息系统运行维护过程中的环境管理、资产管理、介质管理、设备维护管理、漏洞和风险管理、网络和系统安全管理、恶意代码防范管理、配置管理、密码管理、变更管理、备份与恢复管理、安全事件处置、应急预案管理、外包运维管理等情况进行测评。</w:t>
            </w:r>
          </w:p>
        </w:tc>
      </w:tr>
      <w:tr w14:paraId="1EE2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ADF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E0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★安全服务内容</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EDF9">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提供漏洞验证服务，针对发现的漏洞进行验证，安全专家跟进漏洞状态，将漏洞处理工作可视化。验证漏洞在已有的安全体系发生的风险及分析发生后可造成的危害。服务工具可手动选择部分漏洞处置单进行验证扫描，支持对漏洞处置单闭环处理，可设置漏洞处置单状态包括：新增、待修复、已修复、已验证、单次忽略、永久忽略，提供漏洞的当前处置进度证明材料</w:t>
            </w:r>
            <w:r>
              <w:rPr>
                <w:rFonts w:hint="eastAsia" w:ascii="宋体" w:hAnsi="宋体" w:eastAsia="宋体" w:cs="宋体"/>
                <w:b/>
                <w:bCs/>
                <w:i w:val="0"/>
                <w:iCs w:val="0"/>
                <w:color w:val="auto"/>
                <w:kern w:val="0"/>
                <w:sz w:val="22"/>
                <w:szCs w:val="22"/>
                <w:u w:val="none"/>
                <w:lang w:val="en-US" w:eastAsia="zh-CN" w:bidi="ar"/>
              </w:rPr>
              <w:t>（截图）并加盖投标人公章。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2、实时监测网络安全状态，对病毒事件自动化生成工单,及时进行分析与预警。病毒类型包含恶意后门、木马、蠕虫病毒、僵尸网络、勒索文件、WEBSHELL攻击等。</w:t>
            </w:r>
            <w:r>
              <w:rPr>
                <w:rFonts w:hint="eastAsia" w:ascii="宋体" w:hAnsi="宋体" w:eastAsia="宋体" w:cs="宋体"/>
                <w:b/>
                <w:bCs/>
                <w:i w:val="0"/>
                <w:iCs w:val="0"/>
                <w:color w:val="auto"/>
                <w:kern w:val="0"/>
                <w:sz w:val="22"/>
                <w:szCs w:val="22"/>
                <w:u w:val="none"/>
                <w:lang w:val="en-US" w:eastAsia="zh-CN" w:bidi="ar"/>
              </w:rPr>
              <w:t>（提供证明材料（截图）并加盖投标人公章）</w:t>
            </w:r>
          </w:p>
          <w:p w14:paraId="5A797D1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支持展示当前最新的检测结果中新增WEB/主机漏洞和本次被修复的WEB/主机漏洞、新增弱口令和本次被修复的弱口令；支持展示客户当前环境的主机中存在的高危端口服务的检测结果；支持展示用户安全事件发现的变化趋势。</w:t>
            </w:r>
            <w:r>
              <w:rPr>
                <w:rFonts w:hint="eastAsia" w:ascii="宋体" w:hAnsi="宋体" w:eastAsia="宋体" w:cs="宋体"/>
                <w:b/>
                <w:bCs/>
                <w:i w:val="0"/>
                <w:iCs w:val="0"/>
                <w:color w:val="auto"/>
                <w:kern w:val="0"/>
                <w:sz w:val="22"/>
                <w:szCs w:val="22"/>
                <w:u w:val="none"/>
                <w:lang w:val="en-US" w:eastAsia="zh-CN" w:bidi="ar"/>
              </w:rPr>
              <w:t>（提供此项功能性截图证明文件并加盖投标人公章）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4、透测试方法需模拟黑客入侵思路与技术手段，以人工渗透为主，工具为辅，工具包括但不局限于：信息收集工具、漏洞扫描工具、口令猜测工具、脚本测试工具等。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5、渗透服务后需提交渗透测试报告，需对业务系统中存在的安全隐患以及专业的漏洞风险提供专业的处置建议和技术支持</w:t>
            </w:r>
            <w:r>
              <w:rPr>
                <w:rFonts w:hint="eastAsia" w:ascii="宋体" w:hAnsi="宋体" w:eastAsia="宋体" w:cs="宋体"/>
                <w:i w:val="0"/>
                <w:iCs w:val="0"/>
                <w:color w:val="auto"/>
                <w:kern w:val="0"/>
                <w:sz w:val="22"/>
                <w:szCs w:val="22"/>
                <w:u w:val="none"/>
                <w:lang w:val="en-US" w:eastAsia="zh-CN" w:bidi="ar"/>
              </w:rPr>
              <w:t>，报告内容应包括但不限于：信息系统整体安全状况综述、具体发现的漏洞、漏洞产生的原理、漏洞危险程度、测试用例、修复建议等。</w:t>
            </w:r>
          </w:p>
          <w:p w14:paraId="2A966CA6">
            <w:pPr>
              <w:pStyle w:val="2"/>
              <w:rPr>
                <w:rFonts w:hint="eastAsia"/>
                <w:color w:val="auto"/>
              </w:rPr>
            </w:pPr>
            <w:r>
              <w:rPr>
                <w:rFonts w:hint="eastAsia" w:ascii="宋体" w:hAnsi="宋体" w:eastAsia="宋体" w:cs="宋体"/>
                <w:i w:val="0"/>
                <w:iCs w:val="0"/>
                <w:color w:val="auto"/>
                <w:kern w:val="0"/>
                <w:sz w:val="22"/>
                <w:szCs w:val="22"/>
                <w:u w:val="none"/>
                <w:lang w:val="en-US" w:eastAsia="zh-CN" w:bidi="ar"/>
              </w:rPr>
              <w:t>6、所使用漏洞扫描工具支持对C/C++/Python/Java/Php/go等语言的代码解析，语言的词法、语法分析；内置缺陷模板和缺陷规则，并支持自定义</w:t>
            </w:r>
            <w:r>
              <w:rPr>
                <w:rFonts w:hint="eastAsia" w:ascii="宋体" w:hAnsi="宋体" w:eastAsia="宋体" w:cs="宋体"/>
                <w:b/>
                <w:bCs/>
                <w:i w:val="0"/>
                <w:iCs w:val="0"/>
                <w:color w:val="auto"/>
                <w:kern w:val="0"/>
                <w:sz w:val="22"/>
                <w:szCs w:val="22"/>
                <w:u w:val="none"/>
                <w:lang w:val="en-US" w:eastAsia="zh-CN" w:bidi="ar"/>
              </w:rPr>
              <w:t>（须提供功能截图并加盖投标人公章）</w:t>
            </w:r>
          </w:p>
        </w:tc>
      </w:tr>
      <w:tr w14:paraId="0442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1B95">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0D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项目实施团队</w:t>
            </w:r>
          </w:p>
          <w:p w14:paraId="6DCD4002">
            <w:pPr>
              <w:pStyle w:val="2"/>
              <w:rPr>
                <w:rFonts w:hint="eastAsia"/>
                <w:color w:val="auto"/>
              </w:rPr>
            </w:pPr>
            <w:r>
              <w:rPr>
                <w:rFonts w:hint="eastAsia" w:ascii="宋体" w:hAnsi="宋体" w:eastAsia="宋体" w:cs="宋体"/>
                <w:i w:val="0"/>
                <w:iCs w:val="0"/>
                <w:color w:val="auto"/>
                <w:kern w:val="0"/>
                <w:sz w:val="22"/>
                <w:szCs w:val="22"/>
                <w:u w:val="none"/>
                <w:lang w:val="en-US" w:eastAsia="zh-CN" w:bidi="ar"/>
              </w:rPr>
              <w:t>（测评人员资质要求</w:t>
            </w:r>
            <w:r>
              <w:rPr>
                <w:rFonts w:hint="eastAsia" w:ascii="宋体" w:hAnsi="宋体" w:eastAsia="宋体" w:cs="宋体"/>
                <w:i w:val="0"/>
                <w:iCs w:val="0"/>
                <w:color w:val="auto"/>
                <w:kern w:val="0"/>
                <w:sz w:val="22"/>
                <w:szCs w:val="22"/>
                <w:u w:val="none"/>
                <w:lang w:val="en-US" w:eastAsia="zh-CN" w:bidi="ar"/>
              </w:rPr>
              <w:t>）</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25E7">
            <w:pPr>
              <w:spacing w:line="400" w:lineRule="exact"/>
              <w:jc w:val="left"/>
              <w:rPr>
                <w:rFonts w:hAnsi="宋体" w:cs="宋体"/>
                <w:color w:val="auto"/>
                <w:szCs w:val="21"/>
              </w:rPr>
            </w:pPr>
            <w:r>
              <w:rPr>
                <w:rFonts w:hint="eastAsia" w:cs="宋体" w:asciiTheme="minorEastAsia" w:hAnsiTheme="minorEastAsia"/>
                <w:color w:val="auto"/>
                <w:szCs w:val="21"/>
              </w:rPr>
              <w:t>1、拟派本项目的项目负责人，具有信息安全等级测评师（高级）证书、信息系统项目管理师证书（高级）</w:t>
            </w:r>
            <w:r>
              <w:rPr>
                <w:rFonts w:hint="eastAsia" w:hAnsi="宋体" w:cs="宋体"/>
                <w:color w:val="auto"/>
                <w:szCs w:val="21"/>
              </w:rPr>
              <w:t>。</w:t>
            </w:r>
          </w:p>
          <w:p w14:paraId="6880D2E1">
            <w:pPr>
              <w:spacing w:line="400" w:lineRule="exact"/>
              <w:jc w:val="left"/>
              <w:rPr>
                <w:rFonts w:hAnsi="宋体" w:cs="宋体"/>
                <w:color w:val="auto"/>
                <w:szCs w:val="21"/>
              </w:rPr>
            </w:pPr>
            <w:r>
              <w:rPr>
                <w:rFonts w:hint="eastAsia" w:hAnsi="宋体" w:cs="宋体"/>
                <w:color w:val="auto"/>
                <w:szCs w:val="21"/>
              </w:rPr>
              <w:t>2、拟派本项目的项目经理，具有信息安全等级测评师（中级）证书、COBIT Foundation信息系统审计认</w:t>
            </w:r>
            <w:bookmarkStart w:id="0" w:name="_GoBack"/>
            <w:bookmarkEnd w:id="0"/>
            <w:r>
              <w:rPr>
                <w:rFonts w:hint="eastAsia" w:hAnsi="宋体" w:cs="宋体"/>
                <w:color w:val="auto"/>
                <w:szCs w:val="21"/>
              </w:rPr>
              <w:t>证证书、重要信息系统保护人员CIIP-A（可信计算）证书、信息技术应用创新考试评价证书（信息安全工程师）、DSA数据安全评估师证书、计算机技术与软件专业技术人员资格证书（信息安全工程师）、注册密码安全专业人员（NSATP-CSP）证书、信息安全保障人员证书（CISAW）（认证方向：风险管理和应急服务）。</w:t>
            </w:r>
          </w:p>
          <w:p w14:paraId="3126DD6A">
            <w:pPr>
              <w:spacing w:line="400" w:lineRule="exact"/>
              <w:jc w:val="left"/>
              <w:rPr>
                <w:rFonts w:hAnsi="宋体" w:cs="宋体"/>
                <w:color w:val="auto"/>
                <w:szCs w:val="21"/>
              </w:rPr>
            </w:pPr>
            <w:r>
              <w:rPr>
                <w:rFonts w:hAnsi="宋体" w:cs="宋体"/>
                <w:color w:val="auto"/>
                <w:szCs w:val="21"/>
              </w:rPr>
              <w:t>3</w:t>
            </w:r>
            <w:r>
              <w:rPr>
                <w:rFonts w:hint="eastAsia" w:hAnsi="宋体" w:cs="宋体"/>
                <w:color w:val="auto"/>
                <w:szCs w:val="21"/>
              </w:rPr>
              <w:t>、拟派本项目的质量主管，具有信息安全等级测评师（中级）证书、信息技术应用创新考试评价证书（信息安全工程师）、信息安全保障人员证书（CISAW）（认证方向：风险管理和应急服务）、商用密码应用安全性评估从业人员证书。</w:t>
            </w:r>
          </w:p>
          <w:p w14:paraId="3B08FB3B">
            <w:pPr>
              <w:spacing w:line="400" w:lineRule="exact"/>
              <w:jc w:val="left"/>
              <w:rPr>
                <w:rFonts w:hAnsi="宋体" w:cs="宋体"/>
                <w:color w:val="auto"/>
                <w:szCs w:val="21"/>
              </w:rPr>
            </w:pPr>
            <w:r>
              <w:rPr>
                <w:rFonts w:hint="eastAsia" w:hAnsi="宋体" w:cs="宋体"/>
                <w:color w:val="auto"/>
                <w:szCs w:val="21"/>
              </w:rPr>
              <w:t>4、拟派本项目的测评工程师，具有信息安全等级测评师（中级）证书、CCSS-M网络安全服务能力评价证书（安全管理能力认证）、高级软件测评工程师证书、注册密码安全专业人员（NSATP-CSP）证书。</w:t>
            </w:r>
          </w:p>
          <w:p w14:paraId="2FD4C07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Ansi="宋体" w:cs="宋体"/>
                <w:color w:val="auto"/>
                <w:szCs w:val="21"/>
              </w:rPr>
              <w:t>5</w:t>
            </w:r>
            <w:r>
              <w:rPr>
                <w:rFonts w:hint="eastAsia" w:hAnsi="宋体" w:cs="宋体"/>
                <w:color w:val="auto"/>
                <w:szCs w:val="21"/>
              </w:rPr>
              <w:t>、拟派本项目的渗透测试工程师，具有信息安全等级测评师（中级）证书、注册渗透测试工程师证书（CISP</w:t>
            </w:r>
            <w:r>
              <w:rPr>
                <w:rFonts w:hAnsi="宋体" w:cs="宋体"/>
                <w:color w:val="auto"/>
                <w:szCs w:val="21"/>
              </w:rPr>
              <w:t>-PTE</w:t>
            </w:r>
            <w:r>
              <w:rPr>
                <w:rFonts w:hint="eastAsia" w:hAnsi="宋体" w:cs="宋体"/>
                <w:color w:val="auto"/>
                <w:szCs w:val="21"/>
              </w:rPr>
              <w:t>）、信息技术应用创新考试评价证书（数据库工程师中级）、CCSS-R网络安全服务能力评价证书（应急响应能力认证）、国家信息安全漏洞共享平台（C</w:t>
            </w:r>
            <w:r>
              <w:rPr>
                <w:rFonts w:hAnsi="宋体" w:cs="宋体"/>
                <w:color w:val="auto"/>
                <w:szCs w:val="21"/>
              </w:rPr>
              <w:t>NVD</w:t>
            </w:r>
            <w:r>
              <w:rPr>
                <w:rFonts w:hint="eastAsia" w:hAnsi="宋体" w:cs="宋体"/>
                <w:color w:val="auto"/>
                <w:szCs w:val="21"/>
              </w:rPr>
              <w:t>）原创漏洞证明</w:t>
            </w:r>
            <w:r>
              <w:rPr>
                <w:rFonts w:hint="eastAsia" w:ascii="宋体" w:hAnsi="宋体" w:eastAsia="宋体" w:cs="宋体"/>
                <w:i w:val="0"/>
                <w:iCs w:val="0"/>
                <w:color w:val="auto"/>
                <w:kern w:val="0"/>
                <w:sz w:val="22"/>
                <w:szCs w:val="22"/>
                <w:u w:val="none"/>
                <w:lang w:val="en-US" w:eastAsia="zh-CN" w:bidi="ar"/>
              </w:rPr>
              <w:t>。</w:t>
            </w:r>
          </w:p>
          <w:p w14:paraId="4DF5CD51">
            <w:pPr>
              <w:pStyle w:val="2"/>
              <w:rPr>
                <w:rFonts w:hint="default"/>
                <w:color w:val="auto"/>
                <w:lang w:val="en-US"/>
              </w:rPr>
            </w:pPr>
            <w:r>
              <w:rPr>
                <w:rFonts w:hint="eastAsia" w:ascii="宋体" w:hAnsi="宋体" w:eastAsia="宋体" w:cs="宋体"/>
                <w:b/>
                <w:bCs/>
                <w:i w:val="0"/>
                <w:iCs w:val="0"/>
                <w:color w:val="auto"/>
                <w:kern w:val="0"/>
                <w:sz w:val="22"/>
                <w:szCs w:val="22"/>
                <w:u w:val="none"/>
                <w:lang w:val="en-US" w:eastAsia="zh-CN" w:bidi="ar"/>
              </w:rPr>
              <w:t>注：1、2、3、4、5项需提供证书复印件并加盖投标人公章，同时提供证书持有人近6个月缴纳社保证明并加盖投标人公章）</w:t>
            </w:r>
          </w:p>
        </w:tc>
      </w:tr>
      <w:tr w14:paraId="2CF9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5F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DD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测评风险规避</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9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1、项目在测评过程中必须加强安全保密管理与风险控制。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2、指定专人负责信息安全测评过程中的安全保密管理工作，对测评活动、测评人员以及相关文档和数据进行安全保密管理，对重点设备的技术检测进行监督，对接入的检测设备进行控制。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3、安全测评工作中可能出现的安全风险点，按照检测对象周密制定测评方法，根据被测评对象的不同采取相应的风险控制手段。不限于以下方法：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3.1、操作的申请和监护：在实施过程中必须遵守的相关操作章程，以防止敏感信息泄漏和确保及时处理意外事件。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3.2、操作时间控制：对测评直接影响系统工作时，尽可能避开敏感时期。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3.3、人员与数据管理：须高度重视信息保密工作，加强资料管理，确保人员可靠、稳定和可控。测评单位与被测评单位之间应签署长期保密协议，测评人员与被测评单位之间也要有相应的约束和控制措施，按国家有关要求做好保密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3.4、制定应急预案：根据测评范围界定的系统情况，在实施前制定应急预案。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3.5、关键业务系统风险控制：对影响较大的重要关键业务系统在无法搭建模拟环境情况下，原则上不采用测评工具，采用访谈、测评和简单测试的方式进行。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3.6、优化扫描策略：分类扫描:对不同的主机和设备类型执行不同的扫描会话，从而减少不必要的脆弱项目测试。针对扫描对象细化扫描策略：对不同类型的主机或设备，需要根据其上不同的应用和服务情况，有针对性地定制扫描策略选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3.7数据备份与恢复：对业务系统和数据库主机，应对其上数据进行备份，防止测评过程中对设备与主机的损伤影响业务系统的正常运行。</w:t>
            </w:r>
          </w:p>
        </w:tc>
      </w:tr>
      <w:tr w14:paraId="62F3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9F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7FE7">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交付文档</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763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1、投标人需要提供网络安全等级保护测评报告及过程文档。</w:t>
            </w:r>
          </w:p>
          <w:p w14:paraId="4F27BE67">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2、投标人需要提供商用密码应用安全性评估的相关资料。</w:t>
            </w:r>
          </w:p>
        </w:tc>
      </w:tr>
      <w:tr w14:paraId="4247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FB9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AD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投标人资质要求</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08A">
            <w:pPr>
              <w:spacing w:line="400" w:lineRule="exact"/>
              <w:jc w:val="left"/>
              <w:rPr>
                <w:rFonts w:ascii="宋体" w:hAnsi="宋体" w:cs="宋体"/>
                <w:color w:val="auto"/>
                <w:szCs w:val="21"/>
              </w:rPr>
            </w:pPr>
            <w:r>
              <w:rPr>
                <w:rFonts w:hint="eastAsia" w:hAnsi="宋体" w:cs="宋体"/>
                <w:color w:val="auto"/>
                <w:szCs w:val="21"/>
              </w:rPr>
              <w:t>1、具有中国合格评定国家认可委员会（CNAS）颁发的检验机构认可证书，能力范围包含“网络安全等级保护测评”；</w:t>
            </w:r>
          </w:p>
          <w:p w14:paraId="50257A11">
            <w:pPr>
              <w:spacing w:line="400" w:lineRule="exact"/>
              <w:jc w:val="left"/>
              <w:rPr>
                <w:rFonts w:hAnsi="宋体" w:cs="宋体"/>
                <w:color w:val="auto"/>
                <w:szCs w:val="21"/>
              </w:rPr>
            </w:pPr>
            <w:r>
              <w:rPr>
                <w:rFonts w:hint="eastAsia" w:hAnsi="宋体" w:cs="宋体"/>
                <w:color w:val="auto"/>
                <w:szCs w:val="21"/>
              </w:rPr>
              <w:t>2、具有市场监督管理局颁发的检验检测机构资质认定证书（CMA），能力范围包含“软件产品”；</w:t>
            </w:r>
          </w:p>
          <w:p w14:paraId="48C8BE02">
            <w:pPr>
              <w:spacing w:line="400" w:lineRule="exact"/>
              <w:jc w:val="left"/>
              <w:rPr>
                <w:rFonts w:hAnsi="宋体" w:cs="宋体"/>
                <w:color w:val="auto"/>
                <w:szCs w:val="21"/>
              </w:rPr>
            </w:pPr>
            <w:r>
              <w:rPr>
                <w:rFonts w:hint="eastAsia" w:hAnsi="宋体" w:cs="宋体"/>
                <w:color w:val="auto"/>
                <w:szCs w:val="21"/>
              </w:rPr>
              <w:t>3、具有中国网络安全审查技术与认证中心颁发的信息安全风险评估服务资质证书二级及以上；</w:t>
            </w:r>
          </w:p>
          <w:p w14:paraId="582E38C7">
            <w:pPr>
              <w:spacing w:line="400" w:lineRule="exact"/>
              <w:jc w:val="left"/>
              <w:rPr>
                <w:rFonts w:hAnsi="宋体" w:cs="宋体"/>
                <w:color w:val="auto"/>
                <w:szCs w:val="21"/>
              </w:rPr>
            </w:pPr>
            <w:r>
              <w:rPr>
                <w:rFonts w:hint="eastAsia" w:hAnsi="宋体" w:cs="宋体"/>
                <w:color w:val="auto"/>
                <w:szCs w:val="21"/>
              </w:rPr>
              <w:t>4、具有I</w:t>
            </w:r>
            <w:r>
              <w:rPr>
                <w:rFonts w:hAnsi="宋体" w:cs="宋体"/>
                <w:color w:val="auto"/>
                <w:szCs w:val="21"/>
              </w:rPr>
              <w:t>SO9001</w:t>
            </w:r>
            <w:r>
              <w:rPr>
                <w:rFonts w:hint="eastAsia" w:hAnsi="宋体" w:cs="宋体"/>
                <w:color w:val="auto"/>
                <w:szCs w:val="21"/>
              </w:rPr>
              <w:t>质量管理体系认证证书、ISO14001环境管理体系认证证书、ISO45001职业健康安全管理体系认证证书、ISO27001信息安全管理体系认证证书、ISO20000-1服务管理体系认证证书、I</w:t>
            </w:r>
            <w:r>
              <w:rPr>
                <w:rFonts w:hAnsi="宋体" w:cs="宋体"/>
                <w:color w:val="auto"/>
                <w:szCs w:val="21"/>
              </w:rPr>
              <w:t>SO27701</w:t>
            </w:r>
            <w:r>
              <w:rPr>
                <w:rFonts w:hint="eastAsia" w:hAnsi="宋体" w:cs="宋体"/>
                <w:color w:val="auto"/>
                <w:szCs w:val="21"/>
              </w:rPr>
              <w:t>隐私信息管理体系认证证书，认证范围包括“网络安全等级保护测评”；</w:t>
            </w:r>
          </w:p>
          <w:p w14:paraId="6A18B69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Ansi="宋体" w:cs="宋体"/>
                <w:color w:val="auto"/>
                <w:szCs w:val="21"/>
              </w:rPr>
              <w:t>5</w:t>
            </w:r>
            <w:r>
              <w:rPr>
                <w:rFonts w:hint="eastAsia" w:hAnsi="宋体" w:cs="宋体"/>
                <w:color w:val="auto"/>
                <w:szCs w:val="21"/>
              </w:rPr>
              <w:t>、2</w:t>
            </w:r>
            <w:r>
              <w:rPr>
                <w:rFonts w:hAnsi="宋体" w:cs="宋体"/>
                <w:color w:val="auto"/>
                <w:szCs w:val="21"/>
              </w:rPr>
              <w:t>019</w:t>
            </w:r>
            <w:r>
              <w:rPr>
                <w:rFonts w:hint="eastAsia" w:hAnsi="宋体" w:cs="宋体"/>
                <w:color w:val="auto"/>
                <w:szCs w:val="21"/>
              </w:rPr>
              <w:t>年以来获得过全国网络安全等级保护测评机构先进单位。</w:t>
            </w:r>
          </w:p>
          <w:p w14:paraId="0F2418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以上相关证书需提供证书复印件并加盖投标人公章</w:t>
            </w:r>
          </w:p>
        </w:tc>
      </w:tr>
    </w:tbl>
    <w:p w14:paraId="5F3F817E">
      <w:pPr>
        <w:rPr>
          <w:rFonts w:hint="default" w:ascii="宋体" w:hAnsi="宋体" w:eastAsia="宋体" w:cs="宋体"/>
          <w:i w:val="0"/>
          <w:iCs w:val="0"/>
          <w:color w:val="auto"/>
          <w:kern w:val="0"/>
          <w:sz w:val="22"/>
          <w:szCs w:val="22"/>
          <w:u w:val="none"/>
          <w:lang w:val="en-US" w:eastAsia="zh-CN" w:bidi="ar"/>
        </w:rPr>
      </w:pPr>
    </w:p>
    <w:p w14:paraId="73D67C3D">
      <w:pPr>
        <w:rPr>
          <w:rFonts w:hint="default"/>
          <w:lang w:val="en-US" w:eastAsia="zh-CN"/>
        </w:rPr>
      </w:pPr>
    </w:p>
    <w:p w14:paraId="30695A0D">
      <w:pPr>
        <w:pStyle w:val="2"/>
        <w:rPr>
          <w:rFonts w:hint="default"/>
          <w:lang w:val="en-US" w:eastAsia="zh-CN"/>
        </w:rPr>
      </w:pPr>
    </w:p>
    <w:p w14:paraId="3D98D137">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E6D6"/>
    <w:multiLevelType w:val="singleLevel"/>
    <w:tmpl w:val="8B18E6D6"/>
    <w:lvl w:ilvl="0" w:tentative="0">
      <w:start w:val="1"/>
      <w:numFmt w:val="chineseCounting"/>
      <w:suff w:val="nothing"/>
      <w:lvlText w:val="%1、"/>
      <w:lvlJc w:val="left"/>
      <w:rPr>
        <w:rFonts w:hint="eastAsia"/>
      </w:rPr>
    </w:lvl>
  </w:abstractNum>
  <w:abstractNum w:abstractNumId="1">
    <w:nsid w:val="4D4DDAFC"/>
    <w:multiLevelType w:val="multilevel"/>
    <w:tmpl w:val="4D4DDAFC"/>
    <w:lvl w:ilvl="0" w:tentative="0">
      <w:start w:val="1"/>
      <w:numFmt w:val="decimal"/>
      <w:suff w:val="space"/>
      <w:lvlText w:val="%1"/>
      <w:lvlJc w:val="left"/>
      <w:pPr>
        <w:ind w:left="431" w:hanging="431"/>
      </w:pPr>
      <w:rPr>
        <w:rFonts w:hint="default" w:ascii="Times New Roman" w:hAnsi="Times New Roman" w:eastAsia="黑体"/>
        <w:b/>
        <w:i w:val="0"/>
      </w:rPr>
    </w:lvl>
    <w:lvl w:ilvl="1" w:tentative="0">
      <w:start w:val="1"/>
      <w:numFmt w:val="decimal"/>
      <w:suff w:val="space"/>
      <w:lvlText w:val="%1.%2"/>
      <w:lvlJc w:val="left"/>
      <w:pPr>
        <w:ind w:left="431" w:hanging="431"/>
      </w:pPr>
      <w:rPr>
        <w:rFonts w:hint="default" w:ascii="Times New Roman" w:hAnsi="Times New Roman" w:eastAsia="黑体"/>
        <w:b/>
        <w:i w:val="0"/>
      </w:rPr>
    </w:lvl>
    <w:lvl w:ilvl="2" w:tentative="0">
      <w:start w:val="1"/>
      <w:numFmt w:val="decimal"/>
      <w:suff w:val="space"/>
      <w:lvlText w:val="%1.%2.%3"/>
      <w:lvlJc w:val="left"/>
      <w:pPr>
        <w:ind w:left="431" w:hanging="431"/>
      </w:pPr>
      <w:rPr>
        <w:rFonts w:hint="default" w:ascii="Times New Roman" w:hAnsi="Times New Roman" w:eastAsia="黑体"/>
        <w:b/>
        <w:i w:val="0"/>
      </w:rPr>
    </w:lvl>
    <w:lvl w:ilvl="3" w:tentative="0">
      <w:start w:val="1"/>
      <w:numFmt w:val="decimal"/>
      <w:pStyle w:val="4"/>
      <w:suff w:val="space"/>
      <w:lvlText w:val="%1.%2.%3.%4"/>
      <w:lvlJc w:val="left"/>
      <w:pPr>
        <w:ind w:left="431" w:hanging="431"/>
      </w:pPr>
      <w:rPr>
        <w:rFonts w:hint="default" w:ascii="Times New Roman" w:hAnsi="Times New Roman" w:eastAsia="黑体"/>
        <w:b/>
        <w:i w:val="0"/>
      </w:rPr>
    </w:lvl>
    <w:lvl w:ilvl="4" w:tentative="0">
      <w:start w:val="1"/>
      <w:numFmt w:val="decimal"/>
      <w:lvlText w:val="%1.%2.%3.%4.%5"/>
      <w:lvlJc w:val="left"/>
      <w:pPr>
        <w:ind w:left="431" w:hanging="431"/>
      </w:pPr>
      <w:rPr>
        <w:rFonts w:hint="eastAsia"/>
      </w:rPr>
    </w:lvl>
    <w:lvl w:ilvl="5" w:tentative="0">
      <w:start w:val="1"/>
      <w:numFmt w:val="decimal"/>
      <w:lvlText w:val="%1.%2.%3.%4.%5.%6"/>
      <w:lvlJc w:val="left"/>
      <w:pPr>
        <w:ind w:left="431" w:hanging="431"/>
      </w:pPr>
      <w:rPr>
        <w:rFonts w:hint="eastAsia"/>
      </w:rPr>
    </w:lvl>
    <w:lvl w:ilvl="6" w:tentative="0">
      <w:start w:val="1"/>
      <w:numFmt w:val="decimal"/>
      <w:lvlText w:val="%1.%2.%3.%4.%5.%6.%7"/>
      <w:lvlJc w:val="left"/>
      <w:pPr>
        <w:ind w:left="431" w:hanging="431"/>
      </w:pPr>
      <w:rPr>
        <w:rFonts w:hint="eastAsia"/>
      </w:rPr>
    </w:lvl>
    <w:lvl w:ilvl="7" w:tentative="0">
      <w:start w:val="1"/>
      <w:numFmt w:val="decimal"/>
      <w:lvlText w:val="%1.%2.%3.%4.%5.%6.%7.%8"/>
      <w:lvlJc w:val="left"/>
      <w:pPr>
        <w:ind w:left="431" w:hanging="431"/>
      </w:pPr>
      <w:rPr>
        <w:rFonts w:hint="eastAsia"/>
      </w:rPr>
    </w:lvl>
    <w:lvl w:ilvl="8" w:tentative="0">
      <w:start w:val="1"/>
      <w:numFmt w:val="decimal"/>
      <w:lvlText w:val="%1.%2.%3.%4.%5.%6.%7.%8.%9"/>
      <w:lvlJc w:val="left"/>
      <w:pPr>
        <w:ind w:left="431" w:hanging="43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TE4MjZiMjNmMjk1ZjQwNDU2NmQ5MmI0MDRhZmMifQ=="/>
  </w:docVars>
  <w:rsids>
    <w:rsidRoot w:val="00000000"/>
    <w:rsid w:val="1D4D529E"/>
    <w:rsid w:val="2F233665"/>
    <w:rsid w:val="3E7B0893"/>
    <w:rsid w:val="50287E59"/>
    <w:rsid w:val="5D57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431" w:hanging="431"/>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rPr>
  </w:style>
  <w:style w:type="paragraph" w:styleId="5">
    <w:name w:val="Body Text First Indent"/>
    <w:basedOn w:val="2"/>
    <w:next w:val="6"/>
    <w:unhideWhenUsed/>
    <w:qFormat/>
    <w:uiPriority w:val="99"/>
    <w:pPr>
      <w:ind w:firstLine="420" w:firstLineChars="100"/>
    </w:pPr>
  </w:style>
  <w:style w:type="paragraph" w:customStyle="1" w:styleId="6">
    <w:name w:val="段落正文"/>
    <w:basedOn w:val="1"/>
    <w:qFormat/>
    <w:uiPriority w:val="99"/>
    <w:pPr>
      <w:spacing w:beforeLines="50" w:line="360" w:lineRule="auto"/>
      <w:ind w:firstLine="200" w:firstLineChars="200"/>
    </w:pPr>
    <w:rPr>
      <w:spacing w:val="2"/>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hint="eastAsia" w:ascii="宋体" w:hAnsi="宋体" w:eastAsia="宋体" w:cs="宋体"/>
      <w:b/>
      <w:bCs/>
      <w:color w:val="000000"/>
      <w:sz w:val="24"/>
      <w:szCs w:val="24"/>
      <w:u w:val="none"/>
    </w:rPr>
  </w:style>
  <w:style w:type="character" w:customStyle="1" w:styleId="11">
    <w:name w:val="font01"/>
    <w:basedOn w:val="9"/>
    <w:qFormat/>
    <w:uiPriority w:val="0"/>
    <w:rPr>
      <w:rFonts w:hint="eastAsia" w:ascii="宋体" w:hAnsi="宋体" w:eastAsia="宋体" w:cs="宋体"/>
      <w:color w:val="000000"/>
      <w:sz w:val="24"/>
      <w:szCs w:val="24"/>
      <w:u w:val="none"/>
    </w:rPr>
  </w:style>
  <w:style w:type="paragraph" w:customStyle="1" w:styleId="12">
    <w:name w:val="List Paragraph"/>
    <w:basedOn w:val="1"/>
    <w:qFormat/>
    <w:uiPriority w:val="0"/>
  </w:style>
  <w:style w:type="paragraph" w:customStyle="1" w:styleId="13">
    <w:name w:val="表格"/>
    <w:next w:val="1"/>
    <w:qFormat/>
    <w:uiPriority w:val="0"/>
    <w:pPr>
      <w:wordWrap w:val="0"/>
      <w:spacing w:line="360" w:lineRule="auto"/>
      <w:jc w:val="center"/>
    </w:pPr>
    <w:rPr>
      <w:rFonts w:ascii="仿宋" w:hAnsi="仿宋" w:eastAsia="仿宋"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4484</Words>
  <Characters>4637</Characters>
  <Lines>0</Lines>
  <Paragraphs>0</Paragraphs>
  <TotalTime>68</TotalTime>
  <ScaleCrop>false</ScaleCrop>
  <LinksUpToDate>false</LinksUpToDate>
  <CharactersWithSpaces>4649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2024-08-16T12:40:00Z</dcterms:created>
  <dc:creator>AYL</dc:creator>
  <cp:lastModifiedBy>Administrator</cp:lastModifiedBy>
  <dcterms:modified xsi:type="dcterms:W3CDTF">2025-06-23T02:40:59Z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A7E1A9DEF23143F0BAEF11004FBC5041_13</vt:lpwstr>
  </property>
  <property fmtid="{D5CDD505-2E9C-101B-9397-08002B2CF9AE}" pid="4" name="KSOTemplateDocerSaveRecord">
    <vt:lpwstr>eyJoZGlkIjoiYTBhNTE4MjZiMjNmMjk1ZjQwNDU2NmQ5MmI0MDRhZmMiLCJ1c2VySWQiOiIzODQ0MzM3MjAifQ==</vt:lpwstr>
  </property>
</Properties>
</file>