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3EDF0">
      <w:pPr>
        <w:spacing w:line="360" w:lineRule="auto"/>
        <w:jc w:val="center"/>
        <w:rPr>
          <w:sz w:val="24"/>
        </w:rPr>
      </w:pPr>
      <w:r>
        <w:rPr>
          <w:rFonts w:hint="eastAsia"/>
          <w:sz w:val="32"/>
          <w:szCs w:val="32"/>
        </w:rPr>
        <w:t>区域药事管理审方中心系统建设</w:t>
      </w:r>
    </w:p>
    <w:p w14:paraId="1133C959">
      <w:pPr>
        <w:pStyle w:val="32"/>
        <w:spacing w:line="360" w:lineRule="auto"/>
        <w:ind w:left="0"/>
        <w:rPr>
          <w:b/>
          <w:bCs/>
          <w:sz w:val="24"/>
        </w:rPr>
      </w:pP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0BD9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9320" w:type="dxa"/>
            <w:shd w:val="clear" w:color="auto" w:fill="auto"/>
            <w:vAlign w:val="center"/>
          </w:tcPr>
          <w:tbl>
            <w:tblPr>
              <w:tblStyle w:val="17"/>
              <w:tblpPr w:leftFromText="180" w:rightFromText="180" w:vertAnchor="page" w:horzAnchor="page" w:tblpX="-45" w:tblpY="-524"/>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70"/>
              <w:gridCol w:w="6975"/>
            </w:tblGrid>
            <w:tr w14:paraId="417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D83A5EF">
                  <w:pPr>
                    <w:spacing w:line="300" w:lineRule="exact"/>
                    <w:rPr>
                      <w:rFonts w:hint="eastAsia" w:ascii="宋体" w:hAnsi="宋体" w:eastAsia="宋体" w:cs="Times New Roman"/>
                      <w:szCs w:val="21"/>
                    </w:rPr>
                  </w:pPr>
                  <w:r>
                    <w:rPr>
                      <w:rFonts w:ascii="宋体" w:hAnsi="宋体" w:eastAsia="宋体" w:cs="Times New Roman"/>
                      <w:szCs w:val="21"/>
                    </w:rPr>
                    <w:t>序号</w:t>
                  </w:r>
                </w:p>
              </w:tc>
              <w:tc>
                <w:tcPr>
                  <w:tcW w:w="1770" w:type="dxa"/>
                  <w:vAlign w:val="center"/>
                </w:tcPr>
                <w:p w14:paraId="3E32BD7C">
                  <w:pPr>
                    <w:spacing w:line="360" w:lineRule="auto"/>
                    <w:jc w:val="center"/>
                    <w:rPr>
                      <w:rFonts w:hint="eastAsia" w:ascii="宋体" w:hAnsi="宋体" w:eastAsia="宋体" w:cs="Times New Roman"/>
                      <w:szCs w:val="21"/>
                    </w:rPr>
                  </w:pPr>
                  <w:r>
                    <w:rPr>
                      <w:rFonts w:ascii="宋体" w:hAnsi="宋体" w:eastAsia="宋体" w:cs="Times New Roman"/>
                      <w:szCs w:val="21"/>
                    </w:rPr>
                    <w:t>子项</w:t>
                  </w:r>
                </w:p>
              </w:tc>
              <w:tc>
                <w:tcPr>
                  <w:tcW w:w="6975" w:type="dxa"/>
                  <w:vAlign w:val="center"/>
                </w:tcPr>
                <w:p w14:paraId="530C2E3C">
                  <w:pPr>
                    <w:spacing w:line="360" w:lineRule="auto"/>
                    <w:jc w:val="center"/>
                    <w:rPr>
                      <w:rFonts w:hint="eastAsia" w:ascii="宋体" w:hAnsi="宋体" w:eastAsia="宋体" w:cs="Times New Roman"/>
                      <w:szCs w:val="21"/>
                    </w:rPr>
                  </w:pPr>
                  <w:r>
                    <w:rPr>
                      <w:rFonts w:ascii="宋体" w:hAnsi="宋体" w:eastAsia="宋体" w:cs="Times New Roman"/>
                      <w:szCs w:val="21"/>
                    </w:rPr>
                    <w:t>详细要求</w:t>
                  </w:r>
                </w:p>
              </w:tc>
            </w:tr>
            <w:tr w14:paraId="5C39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0" w:type="dxa"/>
                  <w:gridSpan w:val="3"/>
                  <w:vAlign w:val="center"/>
                </w:tcPr>
                <w:p w14:paraId="2670A94B">
                  <w:pPr>
                    <w:spacing w:line="360" w:lineRule="auto"/>
                    <w:rPr>
                      <w:rFonts w:hint="eastAsia" w:ascii="宋体" w:hAnsi="宋体" w:eastAsia="宋体" w:cs="Arial"/>
                      <w:b/>
                      <w:bCs/>
                      <w:szCs w:val="21"/>
                    </w:rPr>
                  </w:pPr>
                  <w:r>
                    <w:rPr>
                      <w:rFonts w:hint="eastAsia" w:ascii="宋体" w:hAnsi="宋体" w:eastAsia="宋体" w:cs="Arial"/>
                      <w:b/>
                      <w:bCs/>
                      <w:szCs w:val="21"/>
                    </w:rPr>
                    <w:t>合理用药审查功能要求</w:t>
                  </w:r>
                </w:p>
              </w:tc>
            </w:tr>
            <w:tr w14:paraId="36EE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6618266">
                  <w:pPr>
                    <w:jc w:val="center"/>
                    <w:rPr>
                      <w:rFonts w:hint="eastAsia" w:ascii="宋体" w:hAnsi="宋体" w:eastAsia="宋体" w:cs="宋体"/>
                    </w:rPr>
                  </w:pPr>
                </w:p>
                <w:p w14:paraId="3632DBB8">
                  <w:pPr>
                    <w:jc w:val="center"/>
                    <w:rPr>
                      <w:rFonts w:hint="eastAsia" w:ascii="宋体" w:hAnsi="宋体" w:eastAsia="宋体" w:cs="宋体"/>
                    </w:rPr>
                  </w:pPr>
                  <w:r>
                    <w:rPr>
                      <w:rFonts w:hint="eastAsia" w:ascii="宋体" w:hAnsi="宋体" w:eastAsia="宋体" w:cs="宋体"/>
                    </w:rPr>
                    <w:t>1</w:t>
                  </w:r>
                </w:p>
              </w:tc>
              <w:tc>
                <w:tcPr>
                  <w:tcW w:w="1770" w:type="dxa"/>
                  <w:vAlign w:val="center"/>
                </w:tcPr>
                <w:p w14:paraId="2B916DB9">
                  <w:pPr>
                    <w:spacing w:line="400" w:lineRule="exact"/>
                    <w:jc w:val="center"/>
                    <w:rPr>
                      <w:rFonts w:hint="eastAsia" w:ascii="宋体" w:hAnsi="宋体" w:eastAsia="宋体" w:cs="Times New Roman"/>
                      <w:szCs w:val="21"/>
                    </w:rPr>
                  </w:pPr>
                  <w:r>
                    <w:rPr>
                      <w:rFonts w:hint="eastAsia" w:ascii="宋体" w:hAnsi="宋体" w:eastAsia="宋体" w:cs="Times New Roman"/>
                      <w:szCs w:val="21"/>
                    </w:rPr>
                    <w:t>处方（医嘱）用药审查功能</w:t>
                  </w:r>
                </w:p>
              </w:tc>
              <w:tc>
                <w:tcPr>
                  <w:tcW w:w="6975" w:type="dxa"/>
                  <w:vAlign w:val="center"/>
                </w:tcPr>
                <w:p w14:paraId="05A08A0A">
                  <w:pPr>
                    <w:widowControl/>
                    <w:spacing w:line="320" w:lineRule="exact"/>
                    <w:jc w:val="left"/>
                    <w:rPr>
                      <w:rFonts w:hint="eastAsia" w:eastAsia="宋体" w:cs="Arial" w:asciiTheme="minorEastAsia" w:hAnsiTheme="minorEastAsia"/>
                      <w:szCs w:val="21"/>
                    </w:rPr>
                  </w:pPr>
                  <w:r>
                    <w:rPr>
                      <w:rFonts w:hint="eastAsia" w:eastAsia="宋体" w:cs="Arial" w:asciiTheme="minorEastAsia" w:hAnsiTheme="minorEastAsia"/>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14:paraId="6CEEC5E1">
                  <w:pPr>
                    <w:pStyle w:val="32"/>
                    <w:widowControl/>
                    <w:numPr>
                      <w:ilvl w:val="1"/>
                      <w:numId w:val="1"/>
                    </w:numPr>
                    <w:spacing w:line="320" w:lineRule="exact"/>
                    <w:ind w:left="0" w:hanging="420"/>
                    <w:contextualSpacing w:val="0"/>
                    <w:jc w:val="left"/>
                    <w:rPr>
                      <w:rFonts w:hint="eastAsia" w:eastAsia="宋体" w:cs="Arial" w:asciiTheme="minorEastAsia" w:hAnsiTheme="minorEastAsia"/>
                      <w:szCs w:val="21"/>
                    </w:rPr>
                  </w:pPr>
                  <w:r>
                    <w:rPr>
                      <w:rFonts w:hint="eastAsia" w:eastAsia="宋体" w:cs="Arial" w:asciiTheme="minorEastAsia" w:hAnsiTheme="minorEastAsia"/>
                      <w:szCs w:val="21"/>
                    </w:rPr>
                    <w:t>住院医嘱支持用药天数预警。</w:t>
                  </w:r>
                </w:p>
                <w:p w14:paraId="0596C916">
                  <w:pPr>
                    <w:pStyle w:val="32"/>
                    <w:numPr>
                      <w:ilvl w:val="1"/>
                      <w:numId w:val="1"/>
                    </w:numPr>
                    <w:spacing w:line="320" w:lineRule="exact"/>
                    <w:ind w:left="0" w:hanging="420"/>
                    <w:contextualSpacing w:val="0"/>
                    <w:jc w:val="left"/>
                    <w:rPr>
                      <w:rFonts w:hint="eastAsia" w:eastAsia="宋体" w:cs="Arial" w:asciiTheme="minorEastAsia" w:hAnsiTheme="minorEastAsia"/>
                      <w:szCs w:val="21"/>
                    </w:rPr>
                  </w:pPr>
                  <w:r>
                    <w:rPr>
                      <w:rFonts w:hint="eastAsia" w:eastAsia="宋体" w:cs="Arial" w:asciiTheme="minorEastAsia" w:hAnsiTheme="minorEastAsia"/>
                      <w:szCs w:val="21"/>
                    </w:rPr>
                    <w:t>可为医生提供TPN处方的营养均衡性、肠外营养浓度、溶液中渗透压浓度计算功能。</w:t>
                  </w:r>
                </w:p>
              </w:tc>
            </w:tr>
            <w:tr w14:paraId="43E5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15B7D85">
                  <w:pPr>
                    <w:pStyle w:val="32"/>
                    <w:tabs>
                      <w:tab w:val="right" w:pos="-547"/>
                      <w:tab w:val="center" w:pos="1372"/>
                    </w:tabs>
                    <w:spacing w:line="360" w:lineRule="auto"/>
                    <w:ind w:left="0" w:firstLine="210" w:firstLineChars="100"/>
                    <w:contextualSpacing w:val="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22</w:t>
                  </w:r>
                </w:p>
              </w:tc>
              <w:tc>
                <w:tcPr>
                  <w:tcW w:w="1770" w:type="dxa"/>
                  <w:vAlign w:val="center"/>
                </w:tcPr>
                <w:p w14:paraId="18552421">
                  <w:pPr>
                    <w:spacing w:line="400" w:lineRule="exact"/>
                    <w:jc w:val="center"/>
                    <w:rPr>
                      <w:rFonts w:hint="eastAsia" w:ascii="宋体" w:hAnsi="宋体" w:eastAsia="宋体" w:cs="Times New Roman"/>
                      <w:szCs w:val="21"/>
                    </w:rPr>
                  </w:pPr>
                  <w:r>
                    <w:rPr>
                      <w:rFonts w:hint="eastAsia" w:ascii="宋体" w:hAnsi="宋体" w:eastAsia="宋体" w:cs="Arial"/>
                      <w:szCs w:val="21"/>
                    </w:rPr>
                    <w:t>药品信息提示功能</w:t>
                  </w:r>
                </w:p>
              </w:tc>
              <w:tc>
                <w:tcPr>
                  <w:tcW w:w="6975" w:type="dxa"/>
                  <w:vAlign w:val="center"/>
                </w:tcPr>
                <w:p w14:paraId="2739836E">
                  <w:pPr>
                    <w:pStyle w:val="5"/>
                    <w:keepNext w:val="0"/>
                    <w:keepLines w:val="0"/>
                    <w:rPr>
                      <w:rFonts w:hint="eastAsia" w:ascii="宋体" w:hAnsi="宋体" w:eastAsia="宋体" w:cs="Arial"/>
                      <w:b/>
                      <w:bCs/>
                      <w:color w:val="auto"/>
                      <w:sz w:val="21"/>
                      <w:szCs w:val="21"/>
                    </w:rPr>
                  </w:pPr>
                  <w:r>
                    <w:rPr>
                      <w:rFonts w:hint="eastAsia" w:ascii="宋体" w:hAnsi="宋体" w:eastAsia="宋体" w:cs="Arial"/>
                      <w:color w:val="auto"/>
                      <w:sz w:val="21"/>
                      <w:szCs w:val="21"/>
                    </w:rPr>
                    <w:t>可快捷查看药品相关重要信息；药品厂家说明书，并可查看国家药监局发布的说明书修订勘误，修改和新增药品说明书内容；查询相应药品的中药材专论信息。</w:t>
                  </w:r>
                </w:p>
              </w:tc>
            </w:tr>
            <w:tr w14:paraId="0D88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3696557">
                  <w:pPr>
                    <w:jc w:val="center"/>
                    <w:rPr>
                      <w:rFonts w:hint="eastAsia" w:ascii="宋体" w:hAnsi="宋体" w:eastAsia="宋体" w:cs="宋体"/>
                    </w:rPr>
                  </w:pPr>
                </w:p>
                <w:p w14:paraId="0B6EA849">
                  <w:pPr>
                    <w:jc w:val="center"/>
                    <w:rPr>
                      <w:rFonts w:hint="eastAsia" w:ascii="宋体" w:hAnsi="宋体" w:eastAsia="宋体" w:cs="宋体"/>
                    </w:rPr>
                  </w:pPr>
                  <w:r>
                    <w:rPr>
                      <w:rFonts w:hint="eastAsia" w:ascii="宋体" w:hAnsi="宋体" w:eastAsia="宋体" w:cs="宋体"/>
                    </w:rPr>
                    <w:t>3</w:t>
                  </w:r>
                </w:p>
              </w:tc>
              <w:tc>
                <w:tcPr>
                  <w:tcW w:w="1770" w:type="dxa"/>
                  <w:vAlign w:val="center"/>
                </w:tcPr>
                <w:p w14:paraId="1D9104A5">
                  <w:pPr>
                    <w:spacing w:line="320" w:lineRule="exact"/>
                    <w:jc w:val="center"/>
                    <w:rPr>
                      <w:rFonts w:hint="eastAsia" w:ascii="宋体" w:hAnsi="宋体" w:eastAsia="宋体" w:cs="Times New Roman"/>
                      <w:szCs w:val="21"/>
                    </w:rPr>
                  </w:pPr>
                  <w:r>
                    <w:rPr>
                      <w:rFonts w:hint="eastAsia" w:ascii="宋体" w:hAnsi="宋体" w:eastAsia="宋体" w:cs="Arial"/>
                      <w:szCs w:val="21"/>
                    </w:rPr>
                    <w:t>质子泵抑制剂专项管控</w:t>
                  </w:r>
                </w:p>
              </w:tc>
              <w:tc>
                <w:tcPr>
                  <w:tcW w:w="6975" w:type="dxa"/>
                  <w:vAlign w:val="center"/>
                </w:tcPr>
                <w:p w14:paraId="69637C66">
                  <w:pPr>
                    <w:pStyle w:val="5"/>
                    <w:rPr>
                      <w:rFonts w:hint="eastAsia" w:ascii="宋体" w:hAnsi="宋体" w:eastAsia="宋体" w:cs="Arial"/>
                      <w:b/>
                      <w:color w:val="auto"/>
                      <w:sz w:val="21"/>
                      <w:szCs w:val="21"/>
                    </w:rPr>
                  </w:pPr>
                  <w:r>
                    <w:rPr>
                      <w:rFonts w:hint="eastAsia" w:ascii="宋体" w:hAnsi="宋体" w:eastAsia="宋体" w:cs="Arial"/>
                      <w:color w:val="auto"/>
                      <w:sz w:val="21"/>
                      <w:szCs w:val="21"/>
                    </w:rPr>
                    <w:t>系统可针对质子泵抑制剂提供药品专项管控，具体要求如下：</w:t>
                  </w:r>
                </w:p>
                <w:p w14:paraId="4DC306BD">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医生开具质子泵抑制剂药品时，需填写用药评估单。提供评估单专项统计分析。</w:t>
                  </w:r>
                </w:p>
                <w:p w14:paraId="0459993C">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“系统”可评估患者病生状态，若存在应激性溃疡风险，提供质子泵抑制剂用药建议。</w:t>
                  </w:r>
                </w:p>
                <w:p w14:paraId="06D9D39D">
                  <w:pPr>
                    <w:pStyle w:val="5"/>
                    <w:numPr>
                      <w:ilvl w:val="0"/>
                      <w:numId w:val="2"/>
                    </w:numPr>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围术期不合理使用质子泵抑制剂时，“系统”可警示医生。</w:t>
                  </w:r>
                </w:p>
                <w:p w14:paraId="72F2E773">
                  <w:pPr>
                    <w:numPr>
                      <w:ilvl w:val="0"/>
                      <w:numId w:val="2"/>
                    </w:numPr>
                    <w:spacing w:line="360" w:lineRule="auto"/>
                    <w:rPr>
                      <w:rFonts w:hint="eastAsia" w:ascii="宋体" w:hAnsi="宋体" w:eastAsia="宋体" w:cs="Arial"/>
                      <w:bCs/>
                      <w:szCs w:val="21"/>
                    </w:rPr>
                  </w:pPr>
                  <w:r>
                    <w:rPr>
                      <w:rFonts w:hint="eastAsia" w:ascii="宋体" w:hAnsi="宋体" w:eastAsia="宋体" w:cs="Arial"/>
                      <w:szCs w:val="21"/>
                    </w:rPr>
                    <w:t>提供质子泵抑制剂医保相关项目审查，如限定适应症、限二线用药等。</w:t>
                  </w:r>
                </w:p>
              </w:tc>
            </w:tr>
            <w:tr w14:paraId="0433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123E982">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4</w:t>
                  </w:r>
                </w:p>
              </w:tc>
              <w:tc>
                <w:tcPr>
                  <w:tcW w:w="1770" w:type="dxa"/>
                  <w:vAlign w:val="center"/>
                </w:tcPr>
                <w:p w14:paraId="6E394E33">
                  <w:pPr>
                    <w:spacing w:line="320" w:lineRule="exact"/>
                    <w:jc w:val="center"/>
                    <w:rPr>
                      <w:rFonts w:hint="eastAsia" w:ascii="宋体" w:hAnsi="宋体" w:eastAsia="宋体" w:cs="Times New Roman"/>
                      <w:szCs w:val="21"/>
                    </w:rPr>
                  </w:pPr>
                  <w:r>
                    <w:rPr>
                      <w:rFonts w:hint="eastAsia" w:ascii="宋体" w:hAnsi="宋体" w:eastAsia="宋体" w:cs="Times New Roman"/>
                      <w:szCs w:val="21"/>
                    </w:rPr>
                    <w:t>用药指导单</w:t>
                  </w:r>
                </w:p>
              </w:tc>
              <w:tc>
                <w:tcPr>
                  <w:tcW w:w="6975" w:type="dxa"/>
                  <w:vAlign w:val="center"/>
                </w:tcPr>
                <w:p w14:paraId="3EB2D09F">
                  <w:pPr>
                    <w:pStyle w:val="5"/>
                    <w:rPr>
                      <w:rFonts w:hint="eastAsia" w:ascii="宋体" w:hAnsi="宋体" w:eastAsia="宋体"/>
                      <w:color w:val="auto"/>
                      <w:szCs w:val="21"/>
                    </w:rPr>
                  </w:pPr>
                  <w:r>
                    <w:rPr>
                      <w:rFonts w:hint="eastAsia" w:ascii="宋体" w:hAnsi="宋体" w:eastAsia="宋体" w:cs="Arial"/>
                      <w:color w:val="auto"/>
                      <w:sz w:val="21"/>
                      <w:szCs w:val="21"/>
                    </w:rPr>
                    <w:t>可生成并打印用药指导单，并可自定义维护用药指导单的内容。</w:t>
                  </w:r>
                </w:p>
              </w:tc>
            </w:tr>
            <w:tr w14:paraId="301E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7478DD7">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5</w:t>
                  </w:r>
                </w:p>
              </w:tc>
              <w:tc>
                <w:tcPr>
                  <w:tcW w:w="1770" w:type="dxa"/>
                  <w:vAlign w:val="center"/>
                </w:tcPr>
                <w:p w14:paraId="32FE6AA9">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审查提示屏蔽</w:t>
                  </w:r>
                </w:p>
                <w:p w14:paraId="7BD084A7">
                  <w:pPr>
                    <w:spacing w:line="320" w:lineRule="exact"/>
                    <w:jc w:val="center"/>
                    <w:rPr>
                      <w:rFonts w:hint="eastAsia" w:ascii="宋体" w:hAnsi="宋体" w:eastAsia="宋体" w:cs="Times New Roman"/>
                      <w:szCs w:val="21"/>
                    </w:rPr>
                  </w:pPr>
                  <w:r>
                    <w:rPr>
                      <w:rFonts w:hint="eastAsia" w:ascii="宋体" w:hAnsi="宋体" w:eastAsia="宋体" w:cs="Times New Roman"/>
                      <w:szCs w:val="21"/>
                    </w:rPr>
                    <w:t>功能</w:t>
                  </w:r>
                </w:p>
              </w:tc>
              <w:tc>
                <w:tcPr>
                  <w:tcW w:w="6975" w:type="dxa"/>
                  <w:vAlign w:val="center"/>
                </w:tcPr>
                <w:p w14:paraId="01693BD6">
                  <w:pPr>
                    <w:spacing w:line="320" w:lineRule="exact"/>
                    <w:jc w:val="left"/>
                    <w:rPr>
                      <w:rFonts w:hint="eastAsia" w:ascii="宋体" w:hAnsi="宋体" w:eastAsia="宋体" w:cs="Arial"/>
                      <w:bCs/>
                      <w:szCs w:val="21"/>
                    </w:rPr>
                  </w:pPr>
                  <w:r>
                    <w:rPr>
                      <w:rFonts w:hint="eastAsia" w:ascii="宋体" w:hAnsi="宋体" w:eastAsia="宋体" w:cs="Arial"/>
                      <w:bCs/>
                      <w:szCs w:val="21"/>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3125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F4C86B9">
                  <w:pPr>
                    <w:pStyle w:val="32"/>
                    <w:spacing w:line="360" w:lineRule="auto"/>
                    <w:ind w:left="0"/>
                    <w:contextualSpacing w:val="0"/>
                    <w:jc w:val="center"/>
                    <w:rPr>
                      <w:rFonts w:hint="eastAsia" w:ascii="宋体" w:hAnsi="宋体" w:eastAsia="宋体" w:cs="宋体"/>
                      <w:szCs w:val="21"/>
                    </w:rPr>
                  </w:pPr>
                  <w:r>
                    <w:rPr>
                      <w:rFonts w:hint="eastAsia" w:ascii="宋体" w:hAnsi="宋体" w:eastAsia="宋体" w:cs="宋体"/>
                      <w:szCs w:val="21"/>
                    </w:rPr>
                    <w:t>6</w:t>
                  </w:r>
                </w:p>
              </w:tc>
              <w:tc>
                <w:tcPr>
                  <w:tcW w:w="1770" w:type="dxa"/>
                  <w:vAlign w:val="center"/>
                </w:tcPr>
                <w:p w14:paraId="4120C625">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审查规则自定义功能（医院专家知识库）</w:t>
                  </w:r>
                </w:p>
              </w:tc>
              <w:tc>
                <w:tcPr>
                  <w:tcW w:w="6975" w:type="dxa"/>
                  <w:vAlign w:val="center"/>
                </w:tcPr>
                <w:p w14:paraId="2EBC49E3">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系统可以提供多种自定义方式：</w:t>
                  </w:r>
                </w:p>
                <w:p w14:paraId="091572B3">
                  <w:pPr>
                    <w:spacing w:line="320" w:lineRule="exact"/>
                    <w:jc w:val="left"/>
                    <w:rPr>
                      <w:rFonts w:hint="eastAsia" w:ascii="宋体" w:hAnsi="宋体" w:eastAsia="宋体" w:cs="Arial"/>
                      <w:bCs/>
                      <w:szCs w:val="21"/>
                    </w:rPr>
                  </w:pPr>
                  <w:r>
                    <w:rPr>
                      <w:rFonts w:hint="eastAsia" w:ascii="宋体" w:hAnsi="宋体" w:eastAsia="宋体" w:cs="Arial"/>
                      <w:bCs/>
                      <w:szCs w:val="21"/>
                    </w:rPr>
                    <w:t>（1）基于系统审查数据自定义方式，节省药师工作量。</w:t>
                  </w:r>
                </w:p>
                <w:p w14:paraId="1AF404B1">
                  <w:pPr>
                    <w:spacing w:line="320" w:lineRule="exact"/>
                    <w:jc w:val="left"/>
                    <w:rPr>
                      <w:rFonts w:hint="eastAsia" w:ascii="宋体" w:hAnsi="宋体" w:eastAsia="宋体" w:cs="Arial"/>
                      <w:bCs/>
                      <w:szCs w:val="21"/>
                    </w:rPr>
                  </w:pPr>
                  <w:r>
                    <w:rPr>
                      <w:rFonts w:hint="eastAsia" w:ascii="宋体" w:hAnsi="宋体" w:eastAsia="宋体" w:cs="Arial"/>
                      <w:bCs/>
                      <w:szCs w:val="21"/>
                    </w:rPr>
                    <w:t>（2）可完全由用户新建审查规则包括审查要素和审查逻辑。</w:t>
                  </w:r>
                </w:p>
                <w:p w14:paraId="5B496DB7">
                  <w:pPr>
                    <w:spacing w:line="320" w:lineRule="exact"/>
                    <w:ind w:firstLine="420" w:firstLineChars="200"/>
                    <w:jc w:val="left"/>
                    <w:rPr>
                      <w:rFonts w:hint="eastAsia" w:ascii="宋体" w:hAnsi="宋体" w:eastAsia="宋体" w:cs="Arial"/>
                      <w:bCs/>
                      <w:szCs w:val="21"/>
                    </w:rPr>
                  </w:pPr>
                  <w:r>
                    <w:rPr>
                      <w:rFonts w:hint="eastAsia" w:ascii="宋体" w:hAnsi="宋体" w:eastAsia="宋体" w:cs="Arial"/>
                      <w:bCs/>
                      <w:szCs w:val="21"/>
                    </w:rPr>
                    <w:t>用户可自定义药品警示、拦截规则，被拦截的问题处方必须返回修改，否则不可进行下一步操作。</w:t>
                  </w:r>
                </w:p>
                <w:p w14:paraId="5732ED87">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其中部分审查项目可支持以下功能：</w:t>
                  </w:r>
                </w:p>
                <w:p w14:paraId="288A66A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（1）剂量：可显示某个药品在本院近一个月医嘱用量统计，查看不同科室的剂量使用情况。用户只需维护药品一种给药单位的剂量审查规则，系统可自动将规则匹配到该药品其余给药单位。</w:t>
                  </w:r>
                </w:p>
                <w:p w14:paraId="286DA29C">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2）超多日用量可对门、急诊处方药品、麻醉药品和精一药品超多日用量天数进行设置，可针对慢病（区分医保、自费）、非慢病处方、特殊患者分别设置用药天数，并可根据超出天数设置不同的警示级别。支持用户维护参与联合审查的历史处方时间范围。针对特定药品可设置是否拆零参与审查。</w:t>
                  </w:r>
                </w:p>
                <w:p w14:paraId="2C6CF0B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（3）中药饮片剂量：支持以系统数据高值和低值的整数倍分别自定义设置中药饮片剂量标准，支持针对医生、科室设置中药饮片剂量规则。</w:t>
                  </w:r>
                </w:p>
                <w:p w14:paraId="60F3FA4D">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（4）体外注射剂配伍：可设置小剂量胰岛素不参与体外配伍审查，具体剂量标准可由用户自行设置。</w:t>
                  </w:r>
                </w:p>
                <w:p w14:paraId="151C4F59">
                  <w:pPr>
                    <w:pStyle w:val="32"/>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（5）药品专项管控：可设置应激性溃疡风险的预警规则；支持设置可预防使用质子泵抑制剂的手术、质子泵抑制剂药品及术后质子泵抑制剂用药疗程。</w:t>
                  </w:r>
                </w:p>
                <w:p w14:paraId="6EBBEC5A">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规则复制功能：系统支持将其它药品已有的自定义规则分模块复制到被选择的药品上。</w:t>
                  </w:r>
                </w:p>
                <w:p w14:paraId="543D4932">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豁免对象：可根据药品、医生、科室等条件设置特定对象不参与某些模块审查，并可按照模块查看对各种豁免情况的统计。</w:t>
                  </w:r>
                </w:p>
                <w:p w14:paraId="4CCAB7B0">
                  <w:pPr>
                    <w:pStyle w:val="32"/>
                    <w:numPr>
                      <w:ilvl w:val="0"/>
                      <w:numId w:val="3"/>
                    </w:numPr>
                    <w:spacing w:line="320" w:lineRule="exact"/>
                    <w:ind w:left="0" w:hanging="420"/>
                    <w:contextualSpacing w:val="0"/>
                    <w:jc w:val="left"/>
                    <w:rPr>
                      <w:rFonts w:hint="eastAsia" w:ascii="宋体" w:hAnsi="宋体" w:eastAsia="宋体" w:cs="Arial"/>
                      <w:bCs/>
                      <w:szCs w:val="21"/>
                    </w:rPr>
                  </w:pPr>
                  <w:r>
                    <w:rPr>
                      <w:rFonts w:hint="eastAsia" w:ascii="宋体" w:hAnsi="宋体" w:eastAsia="宋体" w:cs="Arial"/>
                      <w:bCs/>
                      <w:szCs w:val="21"/>
                    </w:rPr>
                    <w:t xml:space="preserve">自定义规则查询：可查询药品、科室以及各模块的自定义规则。 </w:t>
                  </w:r>
                </w:p>
              </w:tc>
            </w:tr>
            <w:tr w14:paraId="50F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14:paraId="2A4CD52B">
                  <w:pPr>
                    <w:pStyle w:val="32"/>
                    <w:spacing w:line="360" w:lineRule="auto"/>
                    <w:ind w:left="0" w:firstLine="210" w:firstLineChars="100"/>
                    <w:contextualSpacing w:val="0"/>
                    <w:rPr>
                      <w:rFonts w:hint="eastAsia" w:ascii="宋体" w:hAnsi="宋体" w:eastAsia="宋体" w:cs="Times New Roman"/>
                      <w:szCs w:val="21"/>
                    </w:rPr>
                  </w:pPr>
                  <w:r>
                    <w:rPr>
                      <w:rFonts w:hint="eastAsia" w:ascii="宋体" w:hAnsi="宋体" w:eastAsia="宋体" w:cs="Times New Roman"/>
                      <w:szCs w:val="21"/>
                    </w:rPr>
                    <w:t>7</w:t>
                  </w:r>
                </w:p>
              </w:tc>
              <w:tc>
                <w:tcPr>
                  <w:tcW w:w="1770" w:type="dxa"/>
                  <w:vAlign w:val="center"/>
                </w:tcPr>
                <w:p w14:paraId="2FE3B99E">
                  <w:pPr>
                    <w:spacing w:line="400" w:lineRule="exact"/>
                    <w:jc w:val="center"/>
                    <w:rPr>
                      <w:rFonts w:hint="eastAsia" w:ascii="宋体" w:hAnsi="宋体" w:eastAsia="宋体" w:cs="Times New Roman"/>
                      <w:szCs w:val="21"/>
                    </w:rPr>
                  </w:pPr>
                  <w:r>
                    <w:rPr>
                      <w:rFonts w:hint="eastAsia" w:ascii="宋体" w:hAnsi="宋体" w:eastAsia="宋体" w:cs="Times New Roman"/>
                      <w:szCs w:val="21"/>
                    </w:rPr>
                    <w:t>统计分析功能</w:t>
                  </w:r>
                </w:p>
              </w:tc>
              <w:tc>
                <w:tcPr>
                  <w:tcW w:w="6975" w:type="dxa"/>
                  <w:vAlign w:val="center"/>
                </w:tcPr>
                <w:p w14:paraId="1E0B30C7">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7.1问题处方（医嘱）保存、查询，以及不合理问题统计分析。</w:t>
                  </w:r>
                </w:p>
                <w:p w14:paraId="27E9E1C2">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7.2提供不合理问题评估功能，便于药师在做回顾性分析时对已评估的问题做记录。按需生成统计分析报告。</w:t>
                  </w:r>
                </w:p>
                <w:p w14:paraId="444598AC">
                  <w:pPr>
                    <w:pStyle w:val="32"/>
                    <w:numPr>
                      <w:ilvl w:val="0"/>
                      <w:numId w:val="4"/>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7.3用药理由统计。</w:t>
                  </w:r>
                </w:p>
                <w:p w14:paraId="265D7366">
                  <w:pPr>
                    <w:pStyle w:val="32"/>
                    <w:numPr>
                      <w:ilvl w:val="0"/>
                      <w:numId w:val="4"/>
                    </w:numPr>
                    <w:spacing w:line="320" w:lineRule="exact"/>
                    <w:ind w:left="0"/>
                    <w:contextualSpacing w:val="0"/>
                    <w:jc w:val="left"/>
                    <w:rPr>
                      <w:rFonts w:hint="eastAsia" w:ascii="宋体" w:hAnsi="宋体" w:eastAsia="宋体" w:cs="Arial"/>
                      <w:bCs/>
                      <w:szCs w:val="21"/>
                    </w:rPr>
                  </w:pPr>
                </w:p>
              </w:tc>
            </w:tr>
            <w:tr w14:paraId="3B43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AEC486A">
                  <w:pPr>
                    <w:pStyle w:val="32"/>
                    <w:spacing w:line="360" w:lineRule="auto"/>
                    <w:ind w:left="0" w:firstLine="210" w:firstLineChars="100"/>
                    <w:contextualSpacing w:val="0"/>
                    <w:rPr>
                      <w:rFonts w:hint="eastAsia" w:ascii="宋体" w:hAnsi="宋体" w:eastAsia="宋体" w:cs="Times New Roman"/>
                      <w:szCs w:val="21"/>
                    </w:rPr>
                  </w:pPr>
                  <w:r>
                    <w:rPr>
                      <w:rFonts w:hint="eastAsia" w:ascii="宋体" w:hAnsi="宋体" w:eastAsia="宋体" w:cs="Times New Roman"/>
                      <w:szCs w:val="21"/>
                    </w:rPr>
                    <w:t>8</w:t>
                  </w:r>
                </w:p>
              </w:tc>
              <w:tc>
                <w:tcPr>
                  <w:tcW w:w="1770" w:type="dxa"/>
                  <w:vAlign w:val="center"/>
                </w:tcPr>
                <w:p w14:paraId="55FB25C4">
                  <w:pPr>
                    <w:spacing w:line="360" w:lineRule="auto"/>
                    <w:jc w:val="center"/>
                    <w:rPr>
                      <w:rFonts w:hint="eastAsia" w:ascii="宋体" w:hAnsi="宋体" w:eastAsia="宋体" w:cs="Times New Roman"/>
                      <w:szCs w:val="21"/>
                    </w:rPr>
                  </w:pPr>
                  <w:r>
                    <w:rPr>
                      <w:rFonts w:hint="eastAsia" w:ascii="宋体" w:hAnsi="宋体" w:eastAsia="宋体" w:cs="Times New Roman"/>
                      <w:szCs w:val="21"/>
                    </w:rPr>
                    <w:t>通讯功能</w:t>
                  </w:r>
                </w:p>
              </w:tc>
              <w:tc>
                <w:tcPr>
                  <w:tcW w:w="6975" w:type="dxa"/>
                  <w:vAlign w:val="center"/>
                </w:tcPr>
                <w:p w14:paraId="5F66CDB6">
                  <w:pPr>
                    <w:spacing w:line="320" w:lineRule="exact"/>
                    <w:jc w:val="left"/>
                    <w:rPr>
                      <w:rFonts w:hint="eastAsia" w:ascii="宋体" w:hAnsi="宋体" w:eastAsia="宋体" w:cs="Arial"/>
                      <w:szCs w:val="21"/>
                    </w:rPr>
                  </w:pPr>
                  <w:r>
                    <w:rPr>
                      <w:rFonts w:hint="eastAsia" w:ascii="宋体" w:hAnsi="宋体" w:eastAsia="宋体" w:cs="Arial"/>
                      <w:szCs w:val="21"/>
                    </w:rPr>
                    <w:t>系统应提供药师和医生的在线沟通平台，提供截图、发送图片、文件传输、消息撤回、消息已读提示功能。</w:t>
                  </w:r>
                </w:p>
              </w:tc>
            </w:tr>
          </w:tbl>
          <w:p w14:paraId="79ED7191">
            <w:pPr>
              <w:pStyle w:val="32"/>
              <w:spacing w:line="380" w:lineRule="exact"/>
              <w:ind w:left="0"/>
              <w:rPr>
                <w:rFonts w:hint="eastAsia" w:ascii="宋体" w:hAnsi="宋体" w:cs="Arial"/>
                <w:szCs w:val="21"/>
              </w:rPr>
            </w:pPr>
          </w:p>
        </w:tc>
      </w:tr>
      <w:tr w14:paraId="71E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9" w:hRule="atLeast"/>
        </w:trPr>
        <w:tc>
          <w:tcPr>
            <w:tcW w:w="9320" w:type="dxa"/>
            <w:shd w:val="clear" w:color="auto" w:fill="auto"/>
            <w:vAlign w:val="center"/>
          </w:tcPr>
          <w:tbl>
            <w:tblPr>
              <w:tblStyle w:val="17"/>
              <w:tblpPr w:leftFromText="180" w:rightFromText="180" w:vertAnchor="page" w:horzAnchor="margin" w:tblpX="-118" w:tblpY="2053"/>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30"/>
              <w:gridCol w:w="7215"/>
            </w:tblGrid>
            <w:tr w14:paraId="3532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3"/>
                  <w:vAlign w:val="center"/>
                </w:tcPr>
                <w:p w14:paraId="675B50A8">
                  <w:pPr>
                    <w:spacing w:line="360" w:lineRule="auto"/>
                    <w:rPr>
                      <w:rFonts w:hint="eastAsia" w:ascii="宋体" w:hAnsi="宋体" w:eastAsia="宋体" w:cs="Arial"/>
                      <w:b/>
                      <w:bCs/>
                      <w:szCs w:val="21"/>
                    </w:rPr>
                  </w:pPr>
                  <w:r>
                    <w:rPr>
                      <w:rFonts w:hint="eastAsia" w:ascii="宋体" w:hAnsi="宋体" w:eastAsia="宋体" w:cs="Arial"/>
                      <w:b/>
                      <w:bCs/>
                      <w:szCs w:val="21"/>
                    </w:rPr>
                    <w:t>处方点评系统功能要求</w:t>
                  </w:r>
                </w:p>
              </w:tc>
            </w:tr>
            <w:tr w14:paraId="4A2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5E05F649">
                  <w:pPr>
                    <w:pStyle w:val="32"/>
                    <w:tabs>
                      <w:tab w:val="center" w:pos="364"/>
                    </w:tabs>
                    <w:spacing w:line="360" w:lineRule="auto"/>
                    <w:ind w:left="-289"/>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1</w:t>
                  </w:r>
                </w:p>
              </w:tc>
              <w:tc>
                <w:tcPr>
                  <w:tcW w:w="1530" w:type="dxa"/>
                  <w:vAlign w:val="center"/>
                </w:tcPr>
                <w:p w14:paraId="25C63540">
                  <w:pPr>
                    <w:spacing w:line="360" w:lineRule="auto"/>
                    <w:jc w:val="center"/>
                    <w:rPr>
                      <w:rFonts w:hint="eastAsia" w:ascii="宋体" w:hAnsi="宋体" w:eastAsia="宋体" w:cs="Times New Roman"/>
                      <w:szCs w:val="21"/>
                    </w:rPr>
                  </w:pPr>
                  <w:r>
                    <w:rPr>
                      <w:rFonts w:ascii="宋体" w:hAnsi="宋体" w:eastAsia="宋体" w:cs="Times New Roman"/>
                      <w:szCs w:val="21"/>
                    </w:rPr>
                    <w:t>智慧中心</w:t>
                  </w:r>
                </w:p>
              </w:tc>
              <w:tc>
                <w:tcPr>
                  <w:tcW w:w="7215" w:type="dxa"/>
                  <w:vAlign w:val="center"/>
                </w:tcPr>
                <w:p w14:paraId="3FF58CDA">
                  <w:pPr>
                    <w:spacing w:line="320" w:lineRule="exact"/>
                    <w:rPr>
                      <w:rFonts w:hint="eastAsia" w:ascii="宋体" w:hAnsi="宋体" w:eastAsia="宋体" w:cs="Times New Roman"/>
                      <w:b/>
                      <w:bCs/>
                      <w:sz w:val="24"/>
                    </w:rPr>
                  </w:pPr>
                  <w:r>
                    <w:rPr>
                      <w:rFonts w:hint="eastAsia" w:ascii="Calibri" w:hAnsi="Calibri" w:eastAsia="宋体" w:cs="Times New Roman"/>
                    </w:rPr>
                    <w:t>系统主页应能显示门诊</w:t>
                  </w:r>
                  <w:r>
                    <w:rPr>
                      <w:rFonts w:ascii="Calibri" w:hAnsi="Calibri" w:eastAsia="宋体" w:cs="Times New Roman"/>
                    </w:rPr>
                    <w:t>/住院点评率、合理率</w:t>
                  </w:r>
                  <w:r>
                    <w:rPr>
                      <w:rFonts w:hint="eastAsia" w:ascii="Calibri" w:hAnsi="Calibri" w:eastAsia="宋体" w:cs="Times New Roman"/>
                    </w:rPr>
                    <w:t>，住</w:t>
                  </w:r>
                  <w:r>
                    <w:rPr>
                      <w:rFonts w:hint="eastAsia" w:ascii="宋体" w:hAnsi="宋体" w:eastAsia="宋体" w:cs="Arial"/>
                    </w:rPr>
                    <w:t>院抗菌药物使用强度、门诊基本药物占比、住院静脉输液使用率等指标。</w:t>
                  </w:r>
                </w:p>
              </w:tc>
            </w:tr>
            <w:tr w14:paraId="56B4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2DADC846">
                  <w:pPr>
                    <w:pStyle w:val="32"/>
                    <w:tabs>
                      <w:tab w:val="center" w:pos="423"/>
                    </w:tabs>
                    <w:spacing w:line="360" w:lineRule="auto"/>
                    <w:ind w:left="-289"/>
                    <w:contextualSpacing w:val="0"/>
                    <w:rPr>
                      <w:rFonts w:hint="eastAsia" w:ascii="宋体" w:hAnsi="宋体" w:eastAsia="宋体" w:cs="Times New Roman"/>
                      <w:szCs w:val="21"/>
                    </w:rPr>
                  </w:pPr>
                  <w:r>
                    <w:rPr>
                      <w:rFonts w:hint="eastAsia" w:ascii="宋体" w:hAnsi="宋体" w:eastAsia="宋体" w:cs="Times New Roman"/>
                      <w:szCs w:val="21"/>
                    </w:rPr>
                    <w:t>10  2</w:t>
                  </w:r>
                </w:p>
              </w:tc>
              <w:tc>
                <w:tcPr>
                  <w:tcW w:w="1530" w:type="dxa"/>
                  <w:vAlign w:val="center"/>
                </w:tcPr>
                <w:p w14:paraId="7EE8F945">
                  <w:pPr>
                    <w:spacing w:line="320" w:lineRule="exact"/>
                    <w:jc w:val="center"/>
                    <w:rPr>
                      <w:rFonts w:hint="eastAsia" w:ascii="宋体" w:hAnsi="宋体" w:eastAsia="宋体" w:cs="Times New Roman"/>
                      <w:szCs w:val="21"/>
                    </w:rPr>
                  </w:pPr>
                  <w:r>
                    <w:rPr>
                      <w:rFonts w:hint="eastAsia" w:ascii="宋体" w:hAnsi="宋体" w:eastAsia="宋体" w:cs="Arial"/>
                      <w:szCs w:val="21"/>
                    </w:rPr>
                    <w:t>读取和查看病人信息</w:t>
                  </w:r>
                </w:p>
              </w:tc>
              <w:tc>
                <w:tcPr>
                  <w:tcW w:w="7215" w:type="dxa"/>
                  <w:vAlign w:val="center"/>
                </w:tcPr>
                <w:p w14:paraId="4AAFD616">
                  <w:pPr>
                    <w:pStyle w:val="5"/>
                    <w:keepNext w:val="0"/>
                    <w:keepLines w:val="0"/>
                    <w:rPr>
                      <w:rFonts w:hint="eastAsia" w:ascii="宋体" w:hAnsi="宋体" w:eastAsia="宋体" w:cs="Arial"/>
                      <w:b/>
                      <w:bCs/>
                      <w:color w:val="auto"/>
                      <w:sz w:val="21"/>
                      <w:szCs w:val="21"/>
                    </w:rPr>
                  </w:pPr>
                  <w:r>
                    <w:rPr>
                      <w:rFonts w:hint="eastAsia" w:ascii="宋体" w:hAnsi="宋体" w:eastAsia="宋体" w:cs="Arial"/>
                      <w:color w:val="auto"/>
                      <w:sz w:val="21"/>
                      <w:szCs w:val="21"/>
                    </w:rPr>
                    <w:t>系统应能筛选患者并查看患者基本信息、医嘱、检查、检验、手术、费用、会诊、病程等信息，同时能提供</w:t>
                  </w:r>
                  <w:r>
                    <w:rPr>
                      <w:rFonts w:ascii="宋体" w:hAnsi="宋体" w:eastAsia="宋体" w:cs="Arial"/>
                      <w:color w:val="auto"/>
                      <w:sz w:val="21"/>
                      <w:szCs w:val="21"/>
                    </w:rPr>
                    <w:t>EMR、PACS、LIS</w:t>
                  </w:r>
                  <w:r>
                    <w:rPr>
                      <w:rFonts w:hint="eastAsia" w:ascii="宋体" w:hAnsi="宋体" w:eastAsia="宋体" w:cs="Arial"/>
                      <w:color w:val="auto"/>
                      <w:sz w:val="21"/>
                      <w:szCs w:val="21"/>
                    </w:rPr>
                    <w:t>超链接功能，帮助药师快速切换。</w:t>
                  </w:r>
                </w:p>
              </w:tc>
            </w:tr>
            <w:tr w14:paraId="7F19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7233CF77">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3</w:t>
                  </w:r>
                </w:p>
              </w:tc>
              <w:tc>
                <w:tcPr>
                  <w:tcW w:w="1530" w:type="dxa"/>
                  <w:vAlign w:val="center"/>
                </w:tcPr>
                <w:p w14:paraId="48AAFF4B">
                  <w:pPr>
                    <w:spacing w:line="360" w:lineRule="auto"/>
                    <w:rPr>
                      <w:rFonts w:hint="eastAsia" w:ascii="宋体" w:hAnsi="宋体" w:eastAsia="宋体" w:cs="Times New Roman"/>
                      <w:szCs w:val="21"/>
                    </w:rPr>
                  </w:pPr>
                  <w:r>
                    <w:rPr>
                      <w:rFonts w:hint="eastAsia" w:ascii="宋体" w:hAnsi="宋体" w:eastAsia="宋体" w:cs="Arial"/>
                      <w:szCs w:val="21"/>
                    </w:rPr>
                    <w:t>处方点评</w:t>
                  </w:r>
                </w:p>
              </w:tc>
              <w:tc>
                <w:tcPr>
                  <w:tcW w:w="7215" w:type="dxa"/>
                  <w:vAlign w:val="center"/>
                </w:tcPr>
                <w:p w14:paraId="6310ABD9">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系统应结合国家处方点评相关政策要求，实现对处方（医嘱）电子化评价功能。应能对处方（医嘱）用药进行剂量审查、给药途径审查、相互作用审查、体外注射剂配伍审查、配伍浓度审查、钾离子监测、</w:t>
                  </w:r>
                  <w:r>
                    <w:rPr>
                      <w:rFonts w:ascii="宋体" w:hAnsi="宋体" w:eastAsia="宋体" w:cs="Arial"/>
                      <w:color w:val="auto"/>
                      <w:sz w:val="21"/>
                      <w:szCs w:val="21"/>
                    </w:rPr>
                    <w:t>TPN处方审查、门诊输液审查、禁忌症审查、不良反应审查、特殊人群用药审查、重复用药审查、适应症审查、</w:t>
                  </w:r>
                  <w:r>
                    <w:rPr>
                      <w:rFonts w:hint="eastAsia" w:ascii="宋体" w:hAnsi="宋体" w:eastAsia="宋体" w:cs="Arial"/>
                      <w:color w:val="auto"/>
                      <w:sz w:val="21"/>
                      <w:szCs w:val="21"/>
                    </w:rPr>
                    <w:t>药物过敏审查、药物检验值审查、规范性审查、医保审查、越权用药审查、围术期用药审查，并提供审查规则自定义功能，使得点评结果更加符合医院实际用药情况。</w:t>
                  </w:r>
                </w:p>
                <w:p w14:paraId="119D883D">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63804EEB">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系统应提供双盲点评设置、医生处理点评结果逾期设置、</w:t>
                  </w:r>
                  <w:r>
                    <w:rPr>
                      <w:rFonts w:hint="eastAsia" w:ascii="Calibri" w:hAnsi="Calibri" w:eastAsia="宋体"/>
                      <w:color w:val="auto"/>
                      <w:sz w:val="21"/>
                      <w:szCs w:val="21"/>
                    </w:rPr>
                    <w:t>增补处方或病人</w:t>
                  </w:r>
                  <w:r>
                    <w:rPr>
                      <w:rFonts w:hint="eastAsia" w:ascii="宋体" w:hAnsi="宋体" w:eastAsia="宋体" w:cs="Arial"/>
                      <w:color w:val="auto"/>
                      <w:sz w:val="21"/>
                      <w:szCs w:val="21"/>
                    </w:rPr>
                    <w:t xml:space="preserve">、高亮显示被点评药品功能，方便药师点评。 </w:t>
                  </w:r>
                </w:p>
                <w:p w14:paraId="4C608781">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系统应能自定义点评模板及点评点，实现个性化点评需求。</w:t>
                  </w:r>
                </w:p>
                <w:p w14:paraId="2E3B3C8D">
                  <w:pPr>
                    <w:pStyle w:val="5"/>
                    <w:keepNext w:val="0"/>
                    <w:keepLines w:val="0"/>
                    <w:numPr>
                      <w:ilvl w:val="0"/>
                      <w:numId w:val="2"/>
                    </w:numPr>
                    <w:spacing w:before="0" w:after="0" w:line="320" w:lineRule="exact"/>
                    <w:ind w:left="0" w:firstLine="0"/>
                    <w:rPr>
                      <w:rFonts w:hint="eastAsia" w:ascii="宋体" w:hAnsi="宋体" w:eastAsia="宋体" w:cs="Arial"/>
                      <w:b/>
                      <w:color w:val="auto"/>
                      <w:sz w:val="21"/>
                      <w:szCs w:val="21"/>
                    </w:rPr>
                  </w:pPr>
                  <w:r>
                    <w:rPr>
                      <w:rFonts w:hint="eastAsia" w:ascii="宋体" w:hAnsi="宋体" w:eastAsia="宋体" w:cs="Arial"/>
                      <w:color w:val="auto"/>
                      <w:sz w:val="21"/>
                      <w:szCs w:val="21"/>
                    </w:rPr>
                    <w:t>系统应能自动生成住院患者用药联用图、时序图，并支持自定义。住院患者时序图包含患者体征、用药、手术和检验信息等内容。</w:t>
                  </w:r>
                </w:p>
                <w:p w14:paraId="318EBB26">
                  <w:pPr>
                    <w:pStyle w:val="5"/>
                    <w:keepNext w:val="0"/>
                    <w:keepLines w:val="0"/>
                    <w:spacing w:before="0" w:after="0" w:line="320" w:lineRule="exact"/>
                    <w:rPr>
                      <w:rFonts w:hint="eastAsia" w:ascii="宋体" w:hAnsi="宋体" w:eastAsia="宋体" w:cs="Arial"/>
                      <w:b/>
                      <w:color w:val="auto"/>
                      <w:sz w:val="21"/>
                      <w:szCs w:val="21"/>
                    </w:rPr>
                  </w:pPr>
                  <w:r>
                    <w:rPr>
                      <w:rFonts w:hint="eastAsia" w:ascii="宋体" w:hAnsi="宋体" w:eastAsia="宋体" w:cs="Arial"/>
                      <w:color w:val="auto"/>
                      <w:sz w:val="21"/>
                      <w:szCs w:val="21"/>
                    </w:rPr>
                    <w:t>3.10系统应能自动生成点评相关报表及任务完成情况等管理报表。</w:t>
                  </w:r>
                </w:p>
                <w:p w14:paraId="4BAE770C">
                  <w:pPr>
                    <w:spacing w:line="320" w:lineRule="exact"/>
                    <w:rPr>
                      <w:rFonts w:hint="eastAsia" w:eastAsia="宋体" w:cs="Times New Roman" w:asciiTheme="minorEastAsia" w:hAnsiTheme="minorEastAsia"/>
                    </w:rPr>
                  </w:pPr>
                  <w:r>
                    <w:rPr>
                      <w:rFonts w:hint="eastAsia" w:ascii="宋体" w:hAnsi="宋体" w:eastAsia="宋体" w:cs="Arial"/>
                      <w:szCs w:val="21"/>
                    </w:rPr>
                    <w:t>3.11系</w:t>
                  </w:r>
                  <w:r>
                    <w:rPr>
                      <w:rFonts w:hint="eastAsia" w:ascii="Calibri" w:hAnsi="Calibri" w:eastAsia="宋体" w:cs="Times New Roman"/>
                    </w:rPr>
                    <w:t>统应包含全处方点评、全医嘱点评、相关专项点评，如门急诊</w:t>
                  </w:r>
                  <w:r>
                    <w:rPr>
                      <w:rFonts w:ascii="Calibri" w:hAnsi="Calibri" w:eastAsia="宋体" w:cs="Times New Roman"/>
                    </w:rPr>
                    <w:t>/</w:t>
                  </w:r>
                  <w:r>
                    <w:rPr>
                      <w:rFonts w:hint="eastAsia" w:ascii="Calibri" w:hAnsi="Calibri" w:eastAsia="宋体" w:cs="Times New Roman"/>
                    </w:rPr>
                    <w:t>住院抗菌药物专项点评、围手术期抗菌药物专项点评、门急诊</w:t>
                  </w:r>
                  <w:r>
                    <w:rPr>
                      <w:rFonts w:ascii="Calibri" w:hAnsi="Calibri" w:eastAsia="宋体" w:cs="Times New Roman"/>
                    </w:rPr>
                    <w:t>/</w:t>
                  </w:r>
                  <w:r>
                    <w:rPr>
                      <w:rFonts w:hint="eastAsia" w:ascii="Calibri" w:hAnsi="Calibri" w:eastAsia="宋体" w:cs="Times New Roman"/>
                    </w:rPr>
                    <w:t>住院专项药品点评、抗肿瘤药物专项点评、特殊级抗菌药物专项点评、</w:t>
                  </w:r>
                  <w:r>
                    <w:rPr>
                      <w:rFonts w:ascii="Calibri" w:hAnsi="Calibri" w:eastAsia="宋体" w:cs="Times New Roman"/>
                    </w:rPr>
                    <w:t>碳青霉烯类及</w:t>
                  </w:r>
                  <w:r>
                    <w:rPr>
                      <w:rFonts w:hint="eastAsia" w:ascii="Calibri" w:hAnsi="Calibri" w:eastAsia="宋体" w:cs="Times New Roman"/>
                    </w:rPr>
                    <w:t>替加环素专项点评、重点监控药品专项点评、住院患者静脉规范输液专项点评、住院病人人血白蛋白专项点评、中药饮片专项点评、中药注射剂/中成药处方/医嘱专项点评、</w:t>
                  </w:r>
                  <w:r>
                    <w:rPr>
                      <w:rFonts w:ascii="Calibri" w:hAnsi="Calibri" w:eastAsia="宋体" w:cs="Times New Roman"/>
                    </w:rPr>
                    <w:t>用药排名医嘱点评</w:t>
                  </w:r>
                  <w:r>
                    <w:rPr>
                      <w:rFonts w:hint="eastAsia" w:ascii="Calibri" w:hAnsi="Calibri" w:eastAsia="宋体" w:cs="Times New Roman"/>
                    </w:rPr>
                    <w:t>、出院带药医嘱点评、国家基本药物专项点评、住院病人肠外营养专项点评、</w:t>
                  </w:r>
                  <w:r>
                    <w:rPr>
                      <w:rFonts w:hint="eastAsia" w:eastAsia="宋体" w:asciiTheme="minorEastAsia" w:hAnsiTheme="minorEastAsia" w:cstheme="majorBidi"/>
                    </w:rPr>
                    <w:t>麻精药品处方点评、门（急）诊外延处方点评、外配处方点评等</w:t>
                  </w:r>
                  <w:r>
                    <w:rPr>
                      <w:rFonts w:hint="eastAsia" w:eastAsia="宋体" w:cs="Times New Roman" w:asciiTheme="minorEastAsia" w:hAnsiTheme="minorEastAsia"/>
                    </w:rPr>
                    <w:t>。</w:t>
                  </w:r>
                </w:p>
                <w:p w14:paraId="79726AE4">
                  <w:pPr>
                    <w:spacing w:line="320" w:lineRule="exact"/>
                    <w:rPr>
                      <w:rFonts w:hint="eastAsia" w:eastAsia="宋体" w:cs="Times New Roman" w:asciiTheme="minorEastAsia" w:hAnsiTheme="minorEastAsia"/>
                    </w:rPr>
                  </w:pPr>
                  <w:r>
                    <w:rPr>
                      <w:rFonts w:hint="eastAsia" w:eastAsia="宋体" w:cs="Times New Roman" w:asciiTheme="minorEastAsia" w:hAnsiTheme="minorEastAsia"/>
                    </w:rPr>
                    <w:t>3.12 可根据医院个性化需求做成处方点评分析报告（年度、半年、季度）。</w:t>
                  </w:r>
                </w:p>
              </w:tc>
            </w:tr>
            <w:tr w14:paraId="2C3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1F45CEAD">
                  <w:pPr>
                    <w:pStyle w:val="32"/>
                    <w:spacing w:line="360" w:lineRule="auto"/>
                    <w:ind w:left="-289"/>
                    <w:contextualSpacing w:val="0"/>
                    <w:rPr>
                      <w:rFonts w:hint="eastAsia" w:ascii="宋体" w:hAnsi="宋体" w:eastAsia="宋体" w:cs="Times New Roman"/>
                      <w:szCs w:val="21"/>
                    </w:rPr>
                  </w:pPr>
                  <w:r>
                    <w:rPr>
                      <w:rFonts w:hint="eastAsia" w:ascii="宋体" w:hAnsi="宋体" w:eastAsia="宋体" w:cs="Times New Roman"/>
                      <w:szCs w:val="21"/>
                    </w:rPr>
                    <w:t xml:space="preserve">    4</w:t>
                  </w:r>
                </w:p>
              </w:tc>
              <w:tc>
                <w:tcPr>
                  <w:tcW w:w="1530" w:type="dxa"/>
                  <w:vAlign w:val="center"/>
                </w:tcPr>
                <w:p w14:paraId="54167F2A">
                  <w:pPr>
                    <w:spacing w:line="320" w:lineRule="exact"/>
                    <w:jc w:val="center"/>
                    <w:rPr>
                      <w:rFonts w:hint="eastAsia" w:ascii="宋体" w:hAnsi="宋体" w:eastAsia="宋体" w:cs="Times New Roman"/>
                      <w:szCs w:val="21"/>
                    </w:rPr>
                  </w:pPr>
                  <w:r>
                    <w:rPr>
                      <w:rFonts w:hint="eastAsia" w:ascii="宋体" w:hAnsi="宋体" w:eastAsia="宋体" w:cs="Times New Roman"/>
                      <w:szCs w:val="21"/>
                    </w:rPr>
                    <w:t>抗菌药物临床应用监测</w:t>
                  </w:r>
                </w:p>
              </w:tc>
              <w:tc>
                <w:tcPr>
                  <w:tcW w:w="7215" w:type="dxa"/>
                  <w:vAlign w:val="center"/>
                </w:tcPr>
                <w:p w14:paraId="4BF99CEB">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系统应根据卫生部《抗菌药物临床应用监测方案》中的相关规定，完成抗菌药物临床应用监测网要求的抗菌药物使用情况统计及上报工作。</w:t>
                  </w:r>
                </w:p>
                <w:p w14:paraId="7E19508F">
                  <w:pPr>
                    <w:spacing w:line="320" w:lineRule="exact"/>
                    <w:ind w:firstLine="420" w:firstLineChars="200"/>
                    <w:rPr>
                      <w:rFonts w:hint="eastAsia" w:ascii="宋体" w:hAnsi="宋体" w:eastAsia="宋体" w:cs="Times New Roman"/>
                      <w:szCs w:val="21"/>
                    </w:rPr>
                  </w:pPr>
                  <w:r>
                    <w:rPr>
                      <w:rFonts w:hint="eastAsia" w:ascii="宋体" w:hAnsi="宋体" w:eastAsia="宋体" w:cs="Arial"/>
                      <w:bCs/>
                      <w:szCs w:val="21"/>
                    </w:rPr>
                    <w:t>系统应提供手术</w:t>
                  </w:r>
                  <w:r>
                    <w:rPr>
                      <w:rFonts w:ascii="宋体" w:hAnsi="宋体" w:eastAsia="宋体" w:cs="Arial"/>
                      <w:bCs/>
                      <w:szCs w:val="21"/>
                    </w:rPr>
                    <w:t>/非手术抗菌药物使用情况调查表、门诊</w:t>
                  </w:r>
                  <w:r>
                    <w:rPr>
                      <w:rFonts w:hint="eastAsia" w:ascii="宋体" w:hAnsi="宋体" w:eastAsia="宋体" w:cs="Arial"/>
                      <w:bCs/>
                      <w:szCs w:val="21"/>
                    </w:rPr>
                    <w:t>/急诊/</w:t>
                  </w:r>
                  <w:r>
                    <w:rPr>
                      <w:rFonts w:ascii="宋体" w:hAnsi="宋体" w:eastAsia="宋体" w:cs="Arial"/>
                      <w:bCs/>
                      <w:szCs w:val="21"/>
                    </w:rPr>
                    <w:t>住院患者抗菌药物使用情况统计报表的离线上报功能，可直接上传文档</w:t>
                  </w:r>
                  <w:r>
                    <w:rPr>
                      <w:rFonts w:hint="eastAsia" w:ascii="宋体" w:hAnsi="宋体" w:eastAsia="宋体" w:cs="Arial"/>
                      <w:bCs/>
                      <w:szCs w:val="21"/>
                    </w:rPr>
                    <w:t>至监测网完成填报工作，避免二次填写。确保数据准确性。</w:t>
                  </w:r>
                </w:p>
              </w:tc>
            </w:tr>
            <w:tr w14:paraId="7E2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76A45B38">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5</w:t>
                  </w:r>
                </w:p>
              </w:tc>
              <w:tc>
                <w:tcPr>
                  <w:tcW w:w="1530" w:type="dxa"/>
                  <w:vAlign w:val="center"/>
                </w:tcPr>
                <w:p w14:paraId="1A4C72E0">
                  <w:pPr>
                    <w:spacing w:line="360" w:lineRule="auto"/>
                    <w:jc w:val="center"/>
                    <w:rPr>
                      <w:rFonts w:hint="eastAsia" w:ascii="宋体" w:hAnsi="宋体" w:eastAsia="宋体" w:cs="Times New Roman"/>
                      <w:szCs w:val="21"/>
                    </w:rPr>
                  </w:pPr>
                  <w:r>
                    <w:rPr>
                      <w:rFonts w:ascii="宋体" w:hAnsi="宋体" w:eastAsia="宋体" w:cs="Times New Roman"/>
                      <w:szCs w:val="21"/>
                    </w:rPr>
                    <w:t>电子药历</w:t>
                  </w:r>
                </w:p>
              </w:tc>
              <w:tc>
                <w:tcPr>
                  <w:tcW w:w="7215" w:type="dxa"/>
                  <w:vAlign w:val="center"/>
                </w:tcPr>
                <w:p w14:paraId="01DFB4D9">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系统应提供工作药历、教学药历填写模块，并提供自定义药历内容、药历审阅和工作量统计。</w:t>
                  </w:r>
                </w:p>
              </w:tc>
            </w:tr>
            <w:tr w14:paraId="3188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1F32DF4C">
                  <w:pPr>
                    <w:pStyle w:val="32"/>
                    <w:spacing w:line="360" w:lineRule="auto"/>
                    <w:ind w:left="-289"/>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6</w:t>
                  </w:r>
                </w:p>
              </w:tc>
              <w:tc>
                <w:tcPr>
                  <w:tcW w:w="1530" w:type="dxa"/>
                  <w:vAlign w:val="center"/>
                </w:tcPr>
                <w:p w14:paraId="7DAD1D14">
                  <w:pPr>
                    <w:spacing w:line="360" w:lineRule="auto"/>
                    <w:jc w:val="center"/>
                    <w:rPr>
                      <w:rFonts w:hint="eastAsia" w:ascii="宋体" w:hAnsi="宋体" w:eastAsia="宋体" w:cs="Times New Roman"/>
                      <w:szCs w:val="21"/>
                    </w:rPr>
                  </w:pPr>
                  <w:r>
                    <w:rPr>
                      <w:rFonts w:ascii="宋体" w:hAnsi="宋体" w:eastAsia="宋体" w:cs="Times New Roman"/>
                      <w:szCs w:val="21"/>
                    </w:rPr>
                    <w:t>统计分析</w:t>
                  </w:r>
                </w:p>
              </w:tc>
              <w:tc>
                <w:tcPr>
                  <w:tcW w:w="7215" w:type="dxa"/>
                  <w:vAlign w:val="center"/>
                </w:tcPr>
                <w:p w14:paraId="75418A7D">
                  <w:pPr>
                    <w:spacing w:line="320" w:lineRule="exact"/>
                    <w:jc w:val="left"/>
                    <w:rPr>
                      <w:rFonts w:hint="eastAsia" w:ascii="宋体" w:hAnsi="宋体" w:eastAsia="宋体" w:cs="Arial"/>
                      <w:bCs/>
                      <w:szCs w:val="21"/>
                    </w:rPr>
                  </w:pPr>
                  <w:r>
                    <w:rPr>
                      <w:rFonts w:hint="eastAsia" w:ascii="宋体" w:hAnsi="宋体" w:eastAsia="宋体" w:cs="Arial"/>
                      <w:bCs/>
                      <w:szCs w:val="21"/>
                    </w:rPr>
                    <w:t>系统应提供对医院合理用药指标及药品使用情况的统计分析，并能自定义显示和导出。同时提供关键字检索功能，便于快速查询指标。</w:t>
                  </w:r>
                </w:p>
                <w:p w14:paraId="37DCED50">
                  <w:pPr>
                    <w:spacing w:line="320" w:lineRule="exact"/>
                    <w:jc w:val="left"/>
                    <w:rPr>
                      <w:rFonts w:hint="eastAsia" w:eastAsia="宋体" w:cs="Arial" w:asciiTheme="minorEastAsia" w:hAnsiTheme="minorEastAsia"/>
                      <w:bCs/>
                      <w:szCs w:val="21"/>
                    </w:rPr>
                  </w:pPr>
                  <w:r>
                    <w:rPr>
                      <w:rFonts w:hint="eastAsia" w:eastAsia="宋体" w:cs="Arial" w:asciiTheme="minorEastAsia" w:hAnsiTheme="minorEastAsia"/>
                      <w:bCs/>
                      <w:szCs w:val="21"/>
                    </w:rPr>
                    <w:t>6.1合理用药指标及趋势分析，包括：抗菌药物使用率、平均用药品种数、注射剂使用率、抗菌药物患者使用前病原送检率、</w:t>
                  </w:r>
                  <w:r>
                    <w:rPr>
                      <w:rFonts w:eastAsia="宋体" w:cs="Arial" w:asciiTheme="minorEastAsia" w:hAnsiTheme="minorEastAsia"/>
                      <w:bCs/>
                      <w:szCs w:val="21"/>
                    </w:rPr>
                    <w:t>X</w:t>
                  </w:r>
                  <w:r>
                    <w:rPr>
                      <w:rFonts w:hint="eastAsia" w:eastAsia="宋体" w:cs="Arial" w:asciiTheme="minorEastAsia" w:hAnsiTheme="minorEastAsia"/>
                      <w:bCs/>
                      <w:szCs w:val="21"/>
                    </w:rPr>
                    <w:t>类切口手术预防用抗菌药物百分率、</w:t>
                  </w:r>
                  <w:r>
                    <w:rPr>
                      <w:rFonts w:eastAsia="宋体" w:cs="Arial" w:asciiTheme="minorEastAsia" w:hAnsiTheme="minorEastAsia"/>
                      <w:bCs/>
                      <w:szCs w:val="21"/>
                    </w:rPr>
                    <w:t>X</w:t>
                  </w:r>
                  <w:r>
                    <w:rPr>
                      <w:rFonts w:hint="eastAsia" w:eastAsia="宋体" w:cs="Arial" w:asciiTheme="minorEastAsia" w:hAnsiTheme="minorEastAsia"/>
                      <w:bCs/>
                      <w:szCs w:val="21"/>
                    </w:rPr>
                    <w:t>类切口手术术前</w:t>
                  </w:r>
                  <w:r>
                    <w:rPr>
                      <w:rFonts w:eastAsia="宋体" w:cs="Arial" w:asciiTheme="minorEastAsia" w:hAnsiTheme="minorEastAsia"/>
                      <w:bCs/>
                      <w:szCs w:val="21"/>
                    </w:rPr>
                    <w:t>0.5-1.0</w:t>
                  </w:r>
                  <w:r>
                    <w:rPr>
                      <w:rFonts w:hint="eastAsia" w:eastAsia="宋体" w:cs="Arial" w:asciiTheme="minorEastAsia" w:hAnsiTheme="minorEastAsia"/>
                      <w:bCs/>
                      <w:szCs w:val="21"/>
                    </w:rPr>
                    <w:t>小时预防给药百分率等。应能按全院、大科室、科室、医疗组、医生分别提供合理用药相关指标的统计，并能将合理用药指标重新组合并生成新的报表。</w:t>
                  </w:r>
                  <w:r>
                    <w:rPr>
                      <w:rFonts w:hint="eastAsia" w:eastAsia="宋体" w:asciiTheme="minorEastAsia" w:hAnsiTheme="minorEastAsia"/>
                      <w:bCs/>
                      <w:szCs w:val="21"/>
                    </w:rPr>
                    <w:t>应能实现抗菌药物使用强度、抗菌药物使用率、抗菌药物使用量、</w:t>
                  </w:r>
                  <w:r>
                    <w:rPr>
                      <w:rFonts w:eastAsia="宋体" w:asciiTheme="minorEastAsia" w:hAnsiTheme="minorEastAsia"/>
                      <w:bCs/>
                      <w:szCs w:val="21"/>
                    </w:rPr>
                    <w:t>I</w:t>
                  </w:r>
                  <w:r>
                    <w:rPr>
                      <w:rFonts w:hint="eastAsia" w:eastAsia="宋体" w:asciiTheme="minorEastAsia" w:hAnsiTheme="minorEastAsia"/>
                      <w:bCs/>
                      <w:szCs w:val="21"/>
                    </w:rPr>
                    <w:t>类切口手术预防用抗菌药物百分率、国家基本药物药占比同比、环比分析。</w:t>
                  </w:r>
                </w:p>
                <w:p w14:paraId="101ECA48">
                  <w:pPr>
                    <w:rPr>
                      <w:rFonts w:hint="eastAsia" w:eastAsia="宋体" w:asciiTheme="minorEastAsia" w:hAnsiTheme="minorEastAsia"/>
                      <w:bCs/>
                      <w:szCs w:val="21"/>
                    </w:rPr>
                  </w:pPr>
                  <w:r>
                    <w:rPr>
                      <w:rFonts w:hint="eastAsia" w:eastAsia="宋体" w:asciiTheme="minorEastAsia" w:hAnsiTheme="minorEastAsia"/>
                      <w:bCs/>
                      <w:szCs w:val="21"/>
                    </w:rPr>
                    <w:t>6.2可根据院方需求、政策需求，全面配合优化原有报表或新增报表。</w:t>
                  </w:r>
                </w:p>
                <w:p w14:paraId="5F0EC1A8">
                  <w:pPr>
                    <w:rPr>
                      <w:rFonts w:hint="eastAsia" w:eastAsia="宋体" w:asciiTheme="minorEastAsia" w:hAnsiTheme="minorEastAsia"/>
                      <w:bCs/>
                      <w:szCs w:val="21"/>
                    </w:rPr>
                  </w:pPr>
                  <w:r>
                    <w:rPr>
                      <w:rFonts w:hint="eastAsia" w:eastAsia="宋体" w:asciiTheme="minorEastAsia" w:hAnsiTheme="minorEastAsia"/>
                      <w:bCs/>
                      <w:szCs w:val="21"/>
                    </w:rPr>
                    <w:t>6.3应确保数据与HIS系统数据的一致性、准确性。</w:t>
                  </w:r>
                </w:p>
              </w:tc>
            </w:tr>
            <w:tr w14:paraId="212F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14:paraId="6B34DBEF">
                  <w:pPr>
                    <w:pStyle w:val="32"/>
                    <w:numPr>
                      <w:ilvl w:val="0"/>
                      <w:numId w:val="5"/>
                    </w:numPr>
                    <w:spacing w:line="360" w:lineRule="auto"/>
                    <w:ind w:left="131"/>
                    <w:contextualSpacing w:val="0"/>
                    <w:rPr>
                      <w:rFonts w:hint="eastAsia" w:ascii="宋体" w:hAnsi="宋体" w:eastAsia="宋体" w:cs="Times New Roman"/>
                      <w:szCs w:val="21"/>
                    </w:rPr>
                  </w:pPr>
                  <w:r>
                    <w:rPr>
                      <w:rFonts w:hint="eastAsia" w:ascii="宋体" w:hAnsi="宋体" w:eastAsia="宋体" w:cs="Times New Roman"/>
                      <w:szCs w:val="21"/>
                    </w:rPr>
                    <w:t xml:space="preserve">   7</w:t>
                  </w:r>
                </w:p>
              </w:tc>
              <w:tc>
                <w:tcPr>
                  <w:tcW w:w="1530" w:type="dxa"/>
                  <w:vAlign w:val="center"/>
                </w:tcPr>
                <w:p w14:paraId="65E661AC">
                  <w:pPr>
                    <w:spacing w:line="360" w:lineRule="auto"/>
                    <w:jc w:val="center"/>
                    <w:rPr>
                      <w:rFonts w:hint="eastAsia" w:ascii="宋体" w:hAnsi="宋体" w:eastAsia="宋体" w:cs="Times New Roman"/>
                      <w:szCs w:val="21"/>
                    </w:rPr>
                  </w:pPr>
                  <w:r>
                    <w:rPr>
                      <w:rFonts w:ascii="宋体" w:hAnsi="宋体" w:eastAsia="宋体" w:cs="Times New Roman"/>
                      <w:szCs w:val="21"/>
                    </w:rPr>
                    <w:t>其它</w:t>
                  </w:r>
                </w:p>
              </w:tc>
              <w:tc>
                <w:tcPr>
                  <w:tcW w:w="7215" w:type="dxa"/>
                  <w:vAlign w:val="center"/>
                </w:tcPr>
                <w:p w14:paraId="523DFB72">
                  <w:pPr>
                    <w:pStyle w:val="32"/>
                    <w:numPr>
                      <w:ilvl w:val="0"/>
                      <w:numId w:val="6"/>
                    </w:numPr>
                    <w:spacing w:line="320" w:lineRule="exact"/>
                    <w:ind w:left="420" w:hanging="420"/>
                    <w:contextualSpacing w:val="0"/>
                    <w:rPr>
                      <w:rFonts w:hint="eastAsia" w:ascii="宋体" w:hAnsi="宋体" w:eastAsia="宋体" w:cs="Arial"/>
                      <w:bCs/>
                      <w:szCs w:val="21"/>
                    </w:rPr>
                  </w:pPr>
                  <w:r>
                    <w:rPr>
                      <w:rFonts w:hint="eastAsia" w:ascii="宋体" w:hAnsi="宋体" w:eastAsia="宋体" w:cs="Arial"/>
                      <w:bCs/>
                      <w:szCs w:val="21"/>
                    </w:rPr>
                    <w:t>自维护功能</w:t>
                  </w:r>
                </w:p>
                <w:p w14:paraId="2EE416D6">
                  <w:pPr>
                    <w:spacing w:line="320" w:lineRule="exact"/>
                    <w:ind w:firstLine="420" w:firstLineChars="200"/>
                    <w:rPr>
                      <w:rFonts w:hint="eastAsia" w:ascii="宋体" w:hAnsi="宋体" w:eastAsia="宋体" w:cs="Arial"/>
                      <w:bCs/>
                      <w:szCs w:val="21"/>
                    </w:rPr>
                  </w:pPr>
                  <w:r>
                    <w:rPr>
                      <w:rFonts w:hint="eastAsia" w:ascii="宋体" w:hAnsi="宋体" w:eastAsia="宋体" w:cs="Arial"/>
                      <w:bCs/>
                      <w:szCs w:val="21"/>
                    </w:rPr>
                    <w:t>系统应对医院药品属性、</w:t>
                  </w:r>
                  <w:r>
                    <w:rPr>
                      <w:rFonts w:hint="eastAsia" w:ascii="宋体" w:hAnsi="宋体" w:eastAsia="宋体" w:cs="Times New Roman"/>
                      <w:szCs w:val="21"/>
                    </w:rPr>
                    <w:t>给药途径、给药频次、感染疾病类型、检验申请/结果/收费项目类型、手术分类、科室类型、医生抗菌药物权限、围术期用药</w:t>
                  </w:r>
                  <w:r>
                    <w:rPr>
                      <w:rFonts w:ascii="宋体" w:hAnsi="宋体" w:eastAsia="宋体" w:cs="Arial"/>
                      <w:bCs/>
                      <w:szCs w:val="21"/>
                    </w:rPr>
                    <w:t>等基础数据进行程序自动维护。</w:t>
                  </w:r>
                </w:p>
                <w:p w14:paraId="7F4CE216">
                  <w:pPr>
                    <w:pStyle w:val="32"/>
                    <w:numPr>
                      <w:ilvl w:val="0"/>
                      <w:numId w:val="6"/>
                    </w:numPr>
                    <w:spacing w:line="320" w:lineRule="exact"/>
                    <w:ind w:left="420" w:hanging="420"/>
                    <w:contextualSpacing w:val="0"/>
                    <w:rPr>
                      <w:rFonts w:hint="eastAsia" w:ascii="宋体" w:hAnsi="宋体" w:eastAsia="宋体" w:cs="Arial"/>
                      <w:bCs/>
                      <w:szCs w:val="21"/>
                    </w:rPr>
                  </w:pPr>
                  <w:r>
                    <w:rPr>
                      <w:rFonts w:hint="eastAsia" w:ascii="宋体" w:hAnsi="宋体" w:eastAsia="宋体" w:cs="Arial"/>
                      <w:bCs/>
                      <w:szCs w:val="21"/>
                    </w:rPr>
                    <w:t>权限管理</w:t>
                  </w:r>
                </w:p>
                <w:p w14:paraId="438A57BC">
                  <w:pPr>
                    <w:pStyle w:val="6"/>
                    <w:keepNext w:val="0"/>
                    <w:keepLines w:val="0"/>
                    <w:numPr>
                      <w:ilvl w:val="0"/>
                      <w:numId w:val="7"/>
                    </w:numPr>
                    <w:spacing w:before="0" w:after="0" w:line="320" w:lineRule="exact"/>
                    <w:ind w:left="0" w:firstLine="0"/>
                    <w:jc w:val="left"/>
                    <w:rPr>
                      <w:rFonts w:hint="eastAsia" w:ascii="宋体" w:hAnsi="宋体" w:eastAsia="宋体" w:cs="Arial"/>
                      <w:color w:val="auto"/>
                      <w:sz w:val="21"/>
                      <w:szCs w:val="21"/>
                    </w:rPr>
                  </w:pPr>
                  <w:r>
                    <w:rPr>
                      <w:rFonts w:hint="eastAsia" w:ascii="宋体" w:hAnsi="宋体" w:eastAsia="宋体" w:cs="Arial"/>
                      <w:color w:val="auto"/>
                      <w:sz w:val="21"/>
                      <w:szCs w:val="21"/>
                    </w:rPr>
                    <w:t>系统应对各项功能设置严格的权限管理，包括处方点评权限、报表的统计权限、打印</w:t>
                  </w:r>
                  <w:r>
                    <w:rPr>
                      <w:rFonts w:ascii="宋体" w:hAnsi="宋体" w:eastAsia="宋体" w:cs="Arial"/>
                      <w:color w:val="auto"/>
                      <w:sz w:val="21"/>
                      <w:szCs w:val="21"/>
                    </w:rPr>
                    <w:t>/导出权限等。</w:t>
                  </w:r>
                </w:p>
                <w:p w14:paraId="2D5496F2">
                  <w:pPr>
                    <w:pStyle w:val="6"/>
                    <w:keepNext w:val="0"/>
                    <w:keepLines w:val="0"/>
                    <w:numPr>
                      <w:ilvl w:val="0"/>
                      <w:numId w:val="7"/>
                    </w:numPr>
                    <w:spacing w:before="0" w:after="0" w:line="320" w:lineRule="exact"/>
                    <w:ind w:left="284" w:hanging="284"/>
                    <w:rPr>
                      <w:rFonts w:hint="eastAsia" w:ascii="宋体" w:hAnsi="宋体" w:eastAsia="宋体" w:cs="Arial"/>
                      <w:color w:val="auto"/>
                      <w:sz w:val="21"/>
                      <w:szCs w:val="21"/>
                    </w:rPr>
                  </w:pPr>
                  <w:r>
                    <w:rPr>
                      <w:rFonts w:hint="eastAsia" w:ascii="宋体" w:hAnsi="宋体" w:eastAsia="宋体" w:cs="Arial"/>
                      <w:color w:val="auto"/>
                      <w:sz w:val="21"/>
                      <w:szCs w:val="21"/>
                    </w:rPr>
                    <w:t>系统应提供用户操作日志、版本更新内容查询功能。</w:t>
                  </w:r>
                </w:p>
              </w:tc>
            </w:tr>
          </w:tbl>
          <w:p w14:paraId="7BC754CE">
            <w:pPr>
              <w:spacing w:line="360" w:lineRule="auto"/>
              <w:rPr>
                <w:rFonts w:hint="eastAsia" w:ascii="宋体" w:hAnsi="宋体" w:eastAsia="宋体"/>
                <w:b/>
                <w:szCs w:val="21"/>
              </w:rPr>
            </w:pPr>
          </w:p>
          <w:tbl>
            <w:tblPr>
              <w:tblStyle w:val="17"/>
              <w:tblpPr w:leftFromText="180" w:rightFromText="180" w:vertAnchor="page" w:horzAnchor="margin" w:tblpX="-133" w:tblpY="2053"/>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45"/>
              <w:gridCol w:w="7485"/>
            </w:tblGrid>
            <w:tr w14:paraId="74F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3"/>
                  <w:vAlign w:val="center"/>
                </w:tcPr>
                <w:p w14:paraId="6DFF44CB">
                  <w:pPr>
                    <w:spacing w:line="360" w:lineRule="auto"/>
                    <w:rPr>
                      <w:rFonts w:hint="eastAsia" w:ascii="宋体" w:hAnsi="宋体" w:eastAsia="宋体" w:cs="Arial"/>
                      <w:b/>
                      <w:bCs/>
                      <w:szCs w:val="21"/>
                    </w:rPr>
                  </w:pPr>
                  <w:r>
                    <w:rPr>
                      <w:rFonts w:hint="eastAsia" w:ascii="宋体" w:hAnsi="宋体" w:eastAsia="宋体" w:cs="Arial"/>
                      <w:b/>
                      <w:bCs/>
                      <w:szCs w:val="21"/>
                    </w:rPr>
                    <w:t>药师审方干预功能要求</w:t>
                  </w:r>
                </w:p>
              </w:tc>
            </w:tr>
            <w:tr w14:paraId="5EC5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7685AC8B">
                  <w:pPr>
                    <w:pStyle w:val="32"/>
                    <w:numPr>
                      <w:ilvl w:val="0"/>
                      <w:numId w:val="5"/>
                    </w:numPr>
                    <w:spacing w:line="360" w:lineRule="auto"/>
                    <w:ind w:left="-431" w:firstLine="0"/>
                    <w:contextualSpacing w:val="0"/>
                    <w:rPr>
                      <w:rFonts w:hint="eastAsia" w:ascii="宋体" w:hAnsi="宋体" w:eastAsia="宋体" w:cs="Times New Roman"/>
                      <w:szCs w:val="21"/>
                    </w:rPr>
                  </w:pPr>
                  <w:bookmarkStart w:id="0" w:name="_Hlk109920880"/>
                  <w:r>
                    <w:rPr>
                      <w:rFonts w:hint="eastAsia" w:ascii="宋体" w:hAnsi="宋体" w:eastAsia="宋体" w:cs="Times New Roman"/>
                      <w:szCs w:val="21"/>
                    </w:rPr>
                    <w:t xml:space="preserve">  1</w:t>
                  </w:r>
                </w:p>
              </w:tc>
              <w:tc>
                <w:tcPr>
                  <w:tcW w:w="1245" w:type="dxa"/>
                  <w:vAlign w:val="center"/>
                </w:tcPr>
                <w:p w14:paraId="0139501A">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审方时机和过程</w:t>
                  </w:r>
                </w:p>
              </w:tc>
              <w:tc>
                <w:tcPr>
                  <w:tcW w:w="7485" w:type="dxa"/>
                  <w:vAlign w:val="center"/>
                </w:tcPr>
                <w:p w14:paraId="0EC2B5D0">
                  <w:pPr>
                    <w:pStyle w:val="5"/>
                    <w:rPr>
                      <w:rFonts w:hint="eastAsia" w:ascii="宋体" w:hAnsi="宋体" w:eastAsia="宋体" w:cstheme="minorBidi"/>
                      <w:b/>
                      <w:bCs/>
                      <w:color w:val="auto"/>
                      <w:sz w:val="21"/>
                      <w:szCs w:val="21"/>
                    </w:rPr>
                  </w:pPr>
                  <w:r>
                    <w:rPr>
                      <w:rFonts w:hint="eastAsia" w:ascii="宋体" w:hAnsi="宋体" w:eastAsia="宋体" w:cstheme="minorBidi"/>
                      <w:color w:val="auto"/>
                      <w:sz w:val="21"/>
                      <w:szCs w:val="21"/>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bookmarkEnd w:id="0"/>
            <w:tr w14:paraId="0A1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EC49ADD">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2</w:t>
                  </w:r>
                </w:p>
              </w:tc>
              <w:tc>
                <w:tcPr>
                  <w:tcW w:w="1245" w:type="dxa"/>
                  <w:vAlign w:val="center"/>
                </w:tcPr>
                <w:p w14:paraId="37760746">
                  <w:pPr>
                    <w:spacing w:line="320" w:lineRule="exact"/>
                    <w:jc w:val="center"/>
                    <w:rPr>
                      <w:rFonts w:hint="eastAsia" w:ascii="宋体" w:hAnsi="宋体" w:eastAsia="宋体" w:cs="Times New Roman"/>
                      <w:szCs w:val="21"/>
                    </w:rPr>
                  </w:pPr>
                  <w:r>
                    <w:rPr>
                      <w:rFonts w:hint="eastAsia" w:ascii="宋体" w:hAnsi="宋体" w:eastAsia="宋体" w:cs="Arial"/>
                      <w:szCs w:val="21"/>
                    </w:rPr>
                    <w:t>审方干预功能</w:t>
                  </w:r>
                </w:p>
              </w:tc>
              <w:tc>
                <w:tcPr>
                  <w:tcW w:w="7485" w:type="dxa"/>
                  <w:vAlign w:val="center"/>
                </w:tcPr>
                <w:p w14:paraId="4601CCF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系统可主动分配任务给药师，任务来临时可用弹框提醒药师，点击弹框后即可跳转至审方页面。</w:t>
                  </w:r>
                </w:p>
                <w:p w14:paraId="4E21E777">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药师可设置单次可获取任务数，所获取的任务按时间先后顺序排列。</w:t>
                  </w:r>
                </w:p>
                <w:p w14:paraId="05B9AD1B">
                  <w:pPr>
                    <w:pStyle w:val="5"/>
                    <w:numPr>
                      <w:ilvl w:val="0"/>
                      <w:numId w:val="8"/>
                    </w:numPr>
                    <w:tabs>
                      <w:tab w:val="left" w:pos="360"/>
                    </w:tabs>
                    <w:ind w:left="0" w:firstLine="0"/>
                    <w:rPr>
                      <w:rFonts w:hint="eastAsia" w:ascii="宋体" w:hAnsi="宋体" w:eastAsia="宋体" w:cs="Arial"/>
                      <w:b/>
                      <w:bCs/>
                      <w:color w:val="auto"/>
                      <w:sz w:val="21"/>
                      <w:szCs w:val="21"/>
                    </w:rPr>
                  </w:pPr>
                  <w:bookmarkStart w:id="1" w:name="_Hlk109921512"/>
                  <w:r>
                    <w:rPr>
                      <w:rFonts w:hint="eastAsia" w:ascii="宋体" w:hAnsi="宋体" w:eastAsia="宋体" w:cs="Arial"/>
                      <w:color w:val="auto"/>
                      <w:sz w:val="21"/>
                      <w:szCs w:val="21"/>
                    </w:rPr>
                    <w:t>药师审查时，可在审查界面一体化查看当前处方（医嘱）历史干预记录，如医生操作、用药理由等。</w:t>
                  </w:r>
                </w:p>
                <w:p w14:paraId="3F32955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药师审查时可查看当前处方（医嘱）历史修改版本信息。</w:t>
                  </w:r>
                </w:p>
                <w:bookmarkEnd w:id="1"/>
                <w:p w14:paraId="1298DF3D">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药师可选择审核意见中的重点文字变色处理后发给医生。药师还可预设常用问题模板。</w:t>
                  </w:r>
                </w:p>
                <w:p w14:paraId="0DB8E175">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药师可以根据不同任务情况选择医生处方（医嘱）直接双签通过还是需要药师复核。</w:t>
                  </w:r>
                </w:p>
                <w:p w14:paraId="08AE051F">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若一张处方（医嘱）通过前有多个修改版本，系统可以标记每个版本的处置状态。</w:t>
                  </w:r>
                </w:p>
                <w:p w14:paraId="170731E8">
                  <w:pPr>
                    <w:pStyle w:val="5"/>
                    <w:numPr>
                      <w:ilvl w:val="0"/>
                      <w:numId w:val="8"/>
                    </w:numPr>
                    <w:tabs>
                      <w:tab w:val="left" w:pos="360"/>
                    </w:tabs>
                    <w:ind w:left="0" w:firstLine="0"/>
                    <w:rPr>
                      <w:rFonts w:hint="eastAsia" w:ascii="宋体" w:hAnsi="宋体" w:eastAsia="宋体" w:cs="Arial"/>
                      <w:b/>
                      <w:bCs/>
                      <w:color w:val="auto"/>
                      <w:sz w:val="21"/>
                      <w:szCs w:val="21"/>
                    </w:rPr>
                  </w:pPr>
                  <w:r>
                    <w:rPr>
                      <w:rFonts w:hint="eastAsia" w:ascii="宋体" w:hAnsi="宋体" w:eastAsia="宋体" w:cs="Arial"/>
                      <w:color w:val="auto"/>
                      <w:sz w:val="21"/>
                      <w:szCs w:val="21"/>
                    </w:rPr>
                    <w:t>系统支持根据医生提交至药师处的中药处方智能检索近似经典方剂供药师参考。</w:t>
                  </w:r>
                </w:p>
              </w:tc>
            </w:tr>
            <w:tr w14:paraId="20A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7D42F159">
                  <w:pPr>
                    <w:pStyle w:val="32"/>
                    <w:spacing w:line="360" w:lineRule="auto"/>
                    <w:ind w:left="-431"/>
                    <w:contextualSpacing w:val="0"/>
                    <w:rPr>
                      <w:rFonts w:hint="eastAsia" w:ascii="宋体" w:hAnsi="宋体" w:eastAsia="宋体" w:cs="Times New Roman"/>
                      <w:szCs w:val="21"/>
                    </w:rPr>
                  </w:pPr>
                  <w:bookmarkStart w:id="2" w:name="_Hlk109920935"/>
                  <w:r>
                    <w:rPr>
                      <w:rFonts w:hint="eastAsia" w:ascii="宋体" w:hAnsi="宋体" w:eastAsia="宋体" w:cs="Times New Roman"/>
                      <w:szCs w:val="21"/>
                    </w:rPr>
                    <w:t xml:space="preserve">      3</w:t>
                  </w:r>
                </w:p>
              </w:tc>
              <w:tc>
                <w:tcPr>
                  <w:tcW w:w="1245" w:type="dxa"/>
                  <w:vAlign w:val="center"/>
                </w:tcPr>
                <w:p w14:paraId="0C31DA66">
                  <w:pPr>
                    <w:spacing w:line="320" w:lineRule="exact"/>
                    <w:jc w:val="center"/>
                    <w:rPr>
                      <w:rFonts w:hint="eastAsia" w:ascii="宋体" w:hAnsi="宋体" w:eastAsia="宋体" w:cs="Arial"/>
                      <w:szCs w:val="21"/>
                    </w:rPr>
                  </w:pPr>
                  <w:r>
                    <w:rPr>
                      <w:rFonts w:hint="eastAsia" w:ascii="宋体" w:hAnsi="宋体" w:eastAsia="宋体" w:cs="Arial"/>
                      <w:szCs w:val="21"/>
                    </w:rPr>
                    <w:t>质量评价功能</w:t>
                  </w:r>
                </w:p>
              </w:tc>
              <w:tc>
                <w:tcPr>
                  <w:tcW w:w="7485" w:type="dxa"/>
                  <w:vAlign w:val="center"/>
                </w:tcPr>
                <w:p w14:paraId="6F94204B">
                  <w:pPr>
                    <w:pStyle w:val="5"/>
                    <w:rPr>
                      <w:rFonts w:hint="eastAsia" w:ascii="宋体" w:hAnsi="宋体" w:eastAsia="宋体" w:cs="Arial"/>
                      <w:b/>
                      <w:bCs/>
                      <w:color w:val="auto"/>
                      <w:sz w:val="21"/>
                      <w:szCs w:val="21"/>
                    </w:rPr>
                  </w:pPr>
                  <w:r>
                    <w:rPr>
                      <w:rFonts w:hint="eastAsia" w:ascii="宋体" w:hAnsi="宋体" w:eastAsia="宋体" w:cs="Arial"/>
                      <w:color w:val="auto"/>
                      <w:sz w:val="21"/>
                      <w:szCs w:val="21"/>
                    </w:rPr>
                    <w:t>系统提供多种筛选方案设置功能，进行待评价任务筛选。评价人可对每个任务输入审核意见并打分。系统可自动生成任务评分表，并可导出到Excel。</w:t>
                  </w:r>
                </w:p>
              </w:tc>
            </w:tr>
            <w:bookmarkEnd w:id="2"/>
            <w:tr w14:paraId="11D1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EBCE66D">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4</w:t>
                  </w:r>
                </w:p>
              </w:tc>
              <w:tc>
                <w:tcPr>
                  <w:tcW w:w="1245" w:type="dxa"/>
                  <w:vAlign w:val="center"/>
                </w:tcPr>
                <w:p w14:paraId="0FE0DDBC">
                  <w:pPr>
                    <w:spacing w:line="320" w:lineRule="exact"/>
                    <w:jc w:val="center"/>
                    <w:rPr>
                      <w:rFonts w:hint="eastAsia" w:ascii="宋体" w:hAnsi="宋体" w:eastAsia="宋体" w:cs="Times New Roman"/>
                      <w:szCs w:val="21"/>
                    </w:rPr>
                  </w:pPr>
                  <w:r>
                    <w:rPr>
                      <w:rFonts w:hint="eastAsia" w:ascii="宋体" w:hAnsi="宋体" w:eastAsia="宋体" w:cs="Times New Roman"/>
                      <w:szCs w:val="21"/>
                    </w:rPr>
                    <w:t>审方干预自定义功能</w:t>
                  </w:r>
                </w:p>
              </w:tc>
              <w:tc>
                <w:tcPr>
                  <w:tcW w:w="7485" w:type="dxa"/>
                  <w:vAlign w:val="center"/>
                </w:tcPr>
                <w:p w14:paraId="40A72B9F">
                  <w:pPr>
                    <w:pStyle w:val="32"/>
                    <w:numPr>
                      <w:ilvl w:val="0"/>
                      <w:numId w:val="9"/>
                    </w:numPr>
                    <w:spacing w:line="320" w:lineRule="exact"/>
                    <w:ind w:left="0" w:firstLine="0"/>
                    <w:contextualSpacing w:val="0"/>
                    <w:jc w:val="left"/>
                    <w:rPr>
                      <w:rFonts w:hint="eastAsia" w:ascii="宋体" w:hAnsi="宋体" w:eastAsia="宋体" w:cs="Arial"/>
                      <w:bCs/>
                      <w:szCs w:val="21"/>
                    </w:rPr>
                  </w:pPr>
                  <w:r>
                    <w:rPr>
                      <w:rFonts w:hint="eastAsia" w:ascii="宋体" w:hAnsi="宋体" w:eastAsia="宋体" w:cs="Arial"/>
                      <w:bCs/>
                      <w:szCs w:val="21"/>
                    </w:rPr>
                    <w:t>可将任意科室、医生、患者、疾病、药品设置为重点关注，可按科室、医生、患者、疾病、药品、问题类型、警示级别多条件组合设置重点关注，包含重点关注信息的处方由药师进行全面审查。</w:t>
                  </w:r>
                </w:p>
                <w:p w14:paraId="684140AF">
                  <w:pPr>
                    <w:pStyle w:val="32"/>
                    <w:numPr>
                      <w:ilvl w:val="0"/>
                      <w:numId w:val="9"/>
                    </w:numPr>
                    <w:spacing w:line="320" w:lineRule="exact"/>
                    <w:ind w:left="0" w:firstLine="0"/>
                    <w:contextualSpacing w:val="0"/>
                    <w:jc w:val="left"/>
                    <w:rPr>
                      <w:rFonts w:ascii="Calibri" w:hAnsi="Calibri" w:eastAsia="宋体" w:cs="Times New Roman"/>
                    </w:rPr>
                  </w:pPr>
                  <w:r>
                    <w:rPr>
                      <w:rFonts w:hint="eastAsia" w:ascii="宋体" w:hAnsi="宋体" w:eastAsia="宋体" w:cs="Arial"/>
                      <w:bCs/>
                      <w:szCs w:val="21"/>
                    </w:rPr>
                    <w:t>用户可根据使用习惯，设置或上传任务提示音，设置处置按钮顺序、样式，以及发送给医生的常用语。</w:t>
                  </w:r>
                </w:p>
                <w:p w14:paraId="2A5B762E">
                  <w:pPr>
                    <w:pStyle w:val="32"/>
                    <w:numPr>
                      <w:ilvl w:val="0"/>
                      <w:numId w:val="9"/>
                    </w:numPr>
                    <w:spacing w:line="320" w:lineRule="exact"/>
                    <w:ind w:left="0" w:firstLine="0"/>
                    <w:contextualSpacing w:val="0"/>
                    <w:jc w:val="left"/>
                    <w:rPr>
                      <w:rFonts w:hint="eastAsia" w:ascii="宋体" w:hAnsi="宋体" w:eastAsia="宋体" w:cs="Arial"/>
                      <w:bCs/>
                      <w:szCs w:val="21"/>
                    </w:rPr>
                  </w:pPr>
                  <w:r>
                    <w:rPr>
                      <w:rFonts w:hint="eastAsia" w:ascii="宋体" w:hAnsi="宋体" w:eastAsia="宋体" w:cs="Arial"/>
                      <w:bCs/>
                      <w:szCs w:val="21"/>
                    </w:rPr>
                    <w:t>用户可设置自动干预模式，并设置医生填写用药理由的模式。药师不在岗时，系统自动干预，医生填写用药理由后方可执行，支持全院和分科室设置。</w:t>
                  </w:r>
                </w:p>
              </w:tc>
            </w:tr>
            <w:tr w14:paraId="7A8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31D43A5F">
                  <w:pPr>
                    <w:pStyle w:val="32"/>
                    <w:spacing w:line="360" w:lineRule="auto"/>
                    <w:ind w:left="-431"/>
                    <w:contextualSpacing w:val="0"/>
                    <w:jc w:val="center"/>
                    <w:rPr>
                      <w:rFonts w:hint="eastAsia" w:ascii="宋体" w:hAnsi="宋体" w:eastAsia="宋体" w:cs="Times New Roman"/>
                      <w:szCs w:val="21"/>
                    </w:rPr>
                  </w:pPr>
                  <w:r>
                    <w:rPr>
                      <w:rFonts w:hint="eastAsia" w:ascii="宋体" w:hAnsi="宋体" w:eastAsia="宋体" w:cs="Times New Roman"/>
                      <w:szCs w:val="21"/>
                    </w:rPr>
                    <w:t xml:space="preserve">   5</w:t>
                  </w:r>
                </w:p>
              </w:tc>
              <w:tc>
                <w:tcPr>
                  <w:tcW w:w="1245" w:type="dxa"/>
                  <w:vAlign w:val="center"/>
                </w:tcPr>
                <w:p w14:paraId="35D00AC1">
                  <w:pPr>
                    <w:spacing w:line="320" w:lineRule="exact"/>
                    <w:jc w:val="center"/>
                    <w:rPr>
                      <w:rFonts w:hint="eastAsia" w:ascii="宋体" w:hAnsi="宋体" w:eastAsia="宋体" w:cs="Times New Roman"/>
                      <w:szCs w:val="21"/>
                    </w:rPr>
                  </w:pPr>
                  <w:r>
                    <w:rPr>
                      <w:rFonts w:hint="eastAsia" w:ascii="宋体" w:hAnsi="宋体" w:eastAsia="宋体" w:cs="Times New Roman"/>
                      <w:szCs w:val="21"/>
                    </w:rPr>
                    <w:t>系统审查</w:t>
                  </w:r>
                </w:p>
              </w:tc>
              <w:tc>
                <w:tcPr>
                  <w:tcW w:w="7485" w:type="dxa"/>
                  <w:vAlign w:val="center"/>
                </w:tcPr>
                <w:p w14:paraId="09396974">
                  <w:pPr>
                    <w:pStyle w:val="32"/>
                    <w:spacing w:line="320" w:lineRule="exact"/>
                    <w:ind w:left="0"/>
                    <w:jc w:val="left"/>
                    <w:rPr>
                      <w:rFonts w:hint="eastAsia" w:ascii="宋体" w:hAnsi="宋体" w:eastAsia="宋体" w:cs="Arial"/>
                      <w:bCs/>
                      <w:szCs w:val="21"/>
                    </w:rPr>
                  </w:pPr>
                  <w:r>
                    <w:rPr>
                      <w:rFonts w:hint="eastAsia" w:ascii="宋体" w:hAnsi="宋体" w:eastAsia="宋体" w:cs="Arial"/>
                      <w:bCs/>
                      <w:szCs w:val="21"/>
                    </w:rPr>
                    <w:t>系统审查项目、规则等应与医院当前在用医生端审方系统保持一致，并能实现无缝对接，即药师端可查看医生端审方系统的详细审查结果信息，同时药师审核问题标准可按医生端审方系统的审查项目和问题级别进行设置。</w:t>
                  </w:r>
                </w:p>
              </w:tc>
            </w:tr>
            <w:tr w14:paraId="22C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66329543">
                  <w:pPr>
                    <w:pStyle w:val="32"/>
                    <w:spacing w:line="360" w:lineRule="auto"/>
                    <w:ind w:left="0"/>
                    <w:contextualSpacing w:val="0"/>
                    <w:jc w:val="center"/>
                    <w:rPr>
                      <w:rFonts w:hint="eastAsia" w:ascii="宋体" w:hAnsi="宋体" w:eastAsia="宋体" w:cs="Times New Roman"/>
                      <w:szCs w:val="21"/>
                    </w:rPr>
                  </w:pPr>
                  <w:r>
                    <w:rPr>
                      <w:rFonts w:hint="eastAsia" w:ascii="宋体" w:hAnsi="宋体" w:eastAsia="宋体" w:cs="Times New Roman"/>
                      <w:szCs w:val="21"/>
                    </w:rPr>
                    <w:t>6</w:t>
                  </w:r>
                </w:p>
              </w:tc>
              <w:tc>
                <w:tcPr>
                  <w:tcW w:w="1245" w:type="dxa"/>
                  <w:vAlign w:val="center"/>
                </w:tcPr>
                <w:p w14:paraId="3D95277F">
                  <w:pPr>
                    <w:spacing w:line="320" w:lineRule="exact"/>
                    <w:jc w:val="center"/>
                    <w:rPr>
                      <w:rFonts w:hint="eastAsia" w:ascii="宋体" w:hAnsi="宋体" w:eastAsia="宋体" w:cs="Times New Roman"/>
                      <w:szCs w:val="21"/>
                    </w:rPr>
                  </w:pPr>
                  <w:r>
                    <w:rPr>
                      <w:rFonts w:hint="eastAsia" w:ascii="宋体" w:hAnsi="宋体" w:eastAsia="宋体" w:cs="Times New Roman"/>
                      <w:szCs w:val="21"/>
                    </w:rPr>
                    <w:t>统计分析</w:t>
                  </w:r>
                </w:p>
              </w:tc>
              <w:tc>
                <w:tcPr>
                  <w:tcW w:w="7485" w:type="dxa"/>
                  <w:vAlign w:val="center"/>
                </w:tcPr>
                <w:p w14:paraId="1E190C27">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可以分别统计门诊、住院任务的审核率、干预率、合格率等重要指标，并可提供统计图。可按照科室、医生、药品、药师进行干预情况分类统计。</w:t>
                  </w:r>
                </w:p>
                <w:p w14:paraId="41F405EA">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可以统计每个药师的监测时长、审核工作量、干预工作量和干预有效率，并可提供统计图。</w:t>
                  </w:r>
                </w:p>
                <w:p w14:paraId="4993C25E">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可以提供不合理问题统计分析，支持按时间、问题类型、警示等级等条件进行统计，并可生成统计图。可以查看在人工审方时药师主动添加的问题的发生次数、发生率。</w:t>
                  </w:r>
                </w:p>
                <w:p w14:paraId="44945A41">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可以分科室、医生、药品、问题类型提供干预效果追踪，并以统计图的方式体现干预效果。</w:t>
                  </w:r>
                </w:p>
                <w:p w14:paraId="0A573BBE">
                  <w:pPr>
                    <w:pStyle w:val="32"/>
                    <w:numPr>
                      <w:ilvl w:val="0"/>
                      <w:numId w:val="6"/>
                    </w:numPr>
                    <w:spacing w:line="320" w:lineRule="exact"/>
                    <w:ind w:left="0"/>
                    <w:contextualSpacing w:val="0"/>
                    <w:jc w:val="left"/>
                    <w:rPr>
                      <w:rFonts w:hint="eastAsia" w:ascii="宋体" w:hAnsi="宋体" w:eastAsia="宋体" w:cs="Arial"/>
                      <w:bCs/>
                      <w:szCs w:val="21"/>
                    </w:rPr>
                  </w:pPr>
                  <w:r>
                    <w:rPr>
                      <w:rFonts w:hint="eastAsia" w:ascii="宋体" w:hAnsi="宋体" w:eastAsia="宋体" w:cs="Arial"/>
                      <w:bCs/>
                      <w:szCs w:val="21"/>
                    </w:rPr>
                    <w:t>可按不同的处方（医嘱）通过状态进行统计，并可生成统计图。</w:t>
                  </w:r>
                </w:p>
                <w:p w14:paraId="4F9BB07A">
                  <w:pPr>
                    <w:numPr>
                      <w:ilvl w:val="0"/>
                      <w:numId w:val="6"/>
                    </w:numPr>
                    <w:spacing w:line="320" w:lineRule="exact"/>
                    <w:jc w:val="left"/>
                    <w:rPr>
                      <w:rFonts w:hint="eastAsia" w:ascii="宋体" w:hAnsi="宋体" w:eastAsia="宋体" w:cs="Arial"/>
                      <w:szCs w:val="21"/>
                    </w:rPr>
                  </w:pPr>
                  <w:r>
                    <w:rPr>
                      <w:rFonts w:hint="eastAsia" w:ascii="宋体" w:hAnsi="宋体" w:eastAsia="宋体" w:cs="Arial"/>
                      <w:szCs w:val="21"/>
                    </w:rPr>
                    <w:t>医生端可通过用药自查，查看自身任务的审核干预相关统计数据。</w:t>
                  </w:r>
                </w:p>
              </w:tc>
            </w:tr>
            <w:tr w14:paraId="3776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A52F5C2">
                  <w:pPr>
                    <w:pStyle w:val="32"/>
                    <w:spacing w:line="360" w:lineRule="auto"/>
                    <w:ind w:left="-431"/>
                    <w:contextualSpacing w:val="0"/>
                    <w:rPr>
                      <w:rFonts w:hint="eastAsia" w:ascii="宋体" w:hAnsi="宋体" w:eastAsia="宋体" w:cs="Times New Roman"/>
                      <w:szCs w:val="21"/>
                    </w:rPr>
                  </w:pPr>
                  <w:r>
                    <w:rPr>
                      <w:rFonts w:hint="eastAsia" w:ascii="宋体" w:hAnsi="宋体" w:eastAsia="宋体" w:cs="Times New Roman"/>
                      <w:szCs w:val="21"/>
                    </w:rPr>
                    <w:t xml:space="preserve">      7</w:t>
                  </w:r>
                </w:p>
              </w:tc>
              <w:tc>
                <w:tcPr>
                  <w:tcW w:w="1245" w:type="dxa"/>
                  <w:vAlign w:val="center"/>
                </w:tcPr>
                <w:p w14:paraId="3BAAFDE0">
                  <w:pPr>
                    <w:spacing w:line="320" w:lineRule="exact"/>
                    <w:jc w:val="center"/>
                    <w:rPr>
                      <w:rFonts w:hint="eastAsia" w:ascii="宋体" w:hAnsi="宋体" w:eastAsia="宋体" w:cs="Times New Roman"/>
                      <w:szCs w:val="21"/>
                    </w:rPr>
                  </w:pPr>
                  <w:r>
                    <w:rPr>
                      <w:rFonts w:hint="eastAsia" w:ascii="宋体" w:hAnsi="宋体" w:eastAsia="宋体" w:cs="Times New Roman"/>
                      <w:szCs w:val="21"/>
                    </w:rPr>
                    <w:t>大屏展示功能</w:t>
                  </w:r>
                </w:p>
              </w:tc>
              <w:tc>
                <w:tcPr>
                  <w:tcW w:w="7485" w:type="dxa"/>
                  <w:vAlign w:val="center"/>
                </w:tcPr>
                <w:p w14:paraId="29DA5185">
                  <w:pPr>
                    <w:spacing w:line="360" w:lineRule="auto"/>
                    <w:rPr>
                      <w:rFonts w:hint="eastAsia" w:ascii="宋体" w:hAnsi="宋体" w:eastAsia="宋体" w:cs="Arial"/>
                      <w:bCs/>
                      <w:szCs w:val="21"/>
                    </w:rPr>
                  </w:pPr>
                  <w:r>
                    <w:rPr>
                      <w:rFonts w:hint="eastAsia" w:ascii="宋体" w:hAnsi="宋体" w:eastAsia="宋体" w:cs="Arial"/>
                      <w:bCs/>
                      <w:szCs w:val="21"/>
                    </w:rPr>
                    <w:t>系统应支持将重要审方指标通过图表在用户大屏上展示。</w:t>
                  </w:r>
                </w:p>
              </w:tc>
            </w:tr>
          </w:tbl>
          <w:tbl>
            <w:tblPr>
              <w:tblStyle w:val="16"/>
              <w:tblpPr w:leftFromText="180" w:rightFromText="180" w:vertAnchor="text" w:horzAnchor="page" w:tblpX="1575" w:tblpY="379"/>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75"/>
              <w:gridCol w:w="7790"/>
            </w:tblGrid>
            <w:tr w14:paraId="7896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9" w:type="dxa"/>
                  <w:gridSpan w:val="3"/>
                  <w:shd w:val="clear" w:color="auto" w:fill="auto"/>
                  <w:vAlign w:val="center"/>
                </w:tcPr>
                <w:p w14:paraId="71247B98">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eastAsiaTheme="minorEastAsia"/>
                      <w:b w:val="0"/>
                      <w:sz w:val="21"/>
                      <w:szCs w:val="21"/>
                      <w:lang w:val="en-US" w:eastAsia="zh-CN"/>
                    </w:rPr>
                  </w:pPr>
                  <w:r>
                    <w:rPr>
                      <w:rFonts w:hint="eastAsia" w:ascii="宋体" w:hAnsi="宋体" w:eastAsia="宋体" w:cs="Arial"/>
                      <w:b/>
                      <w:bCs/>
                      <w:szCs w:val="21"/>
                    </w:rPr>
                    <w:t>区域</w:t>
                  </w:r>
                  <w:r>
                    <w:rPr>
                      <w:rFonts w:hint="eastAsia" w:ascii="宋体" w:hAnsi="宋体" w:eastAsia="宋体" w:cs="Arial"/>
                      <w:b/>
                      <w:bCs/>
                      <w:szCs w:val="21"/>
                      <w:lang w:val="en-US" w:eastAsia="zh-CN"/>
                    </w:rPr>
                    <w:t>药学监护系统功能要求</w:t>
                  </w:r>
                </w:p>
              </w:tc>
            </w:tr>
            <w:tr w14:paraId="465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shd w:val="clear" w:color="auto" w:fill="auto"/>
                  <w:vAlign w:val="center"/>
                </w:tcPr>
                <w:p w14:paraId="3C61AEBC">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1</w:t>
                  </w:r>
                </w:p>
              </w:tc>
              <w:tc>
                <w:tcPr>
                  <w:tcW w:w="975" w:type="dxa"/>
                  <w:shd w:val="clear" w:color="auto" w:fill="auto"/>
                  <w:vAlign w:val="center"/>
                </w:tcPr>
                <w:p w14:paraId="66CD36AF">
                  <w:pPr>
                    <w:jc w:val="center"/>
                    <w:rPr>
                      <w:rFonts w:ascii="宋体" w:hAnsi="宋体"/>
                      <w:bCs/>
                      <w:szCs w:val="21"/>
                    </w:rPr>
                  </w:pPr>
                  <w:r>
                    <w:rPr>
                      <w:rFonts w:ascii="宋体" w:hAnsi="宋体"/>
                      <w:bCs/>
                      <w:szCs w:val="21"/>
                    </w:rPr>
                    <w:t>监护</w:t>
                  </w:r>
                </w:p>
                <w:p w14:paraId="58CC9370">
                  <w:pPr>
                    <w:jc w:val="center"/>
                    <w:rPr>
                      <w:rFonts w:hint="eastAsia" w:ascii="宋体" w:hAnsi="宋体"/>
                      <w:bCs/>
                      <w:szCs w:val="21"/>
                    </w:rPr>
                  </w:pPr>
                  <w:r>
                    <w:rPr>
                      <w:rFonts w:ascii="宋体" w:hAnsi="宋体"/>
                      <w:bCs/>
                      <w:szCs w:val="21"/>
                    </w:rPr>
                    <w:t>范围</w:t>
                  </w:r>
                </w:p>
              </w:tc>
              <w:tc>
                <w:tcPr>
                  <w:tcW w:w="7790" w:type="dxa"/>
                  <w:shd w:val="clear" w:color="auto" w:fill="auto"/>
                  <w:vAlign w:val="center"/>
                </w:tcPr>
                <w:p w14:paraId="7CFF6365">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ascii="宋体" w:hAnsi="宋体"/>
                      <w:b w:val="0"/>
                      <w:sz w:val="21"/>
                      <w:szCs w:val="21"/>
                    </w:rPr>
                    <w:t>系统应能按科室、病区、医疗组、主管医生设置监护范围，方便</w:t>
                  </w:r>
                  <w:r>
                    <w:rPr>
                      <w:rFonts w:hint="eastAsia" w:ascii="宋体" w:hAnsi="宋体"/>
                      <w:b w:val="0"/>
                      <w:sz w:val="21"/>
                      <w:szCs w:val="21"/>
                      <w:lang w:val="en-US" w:eastAsia="zh-CN"/>
                    </w:rPr>
                    <w:t>临床</w:t>
                  </w:r>
                  <w:r>
                    <w:rPr>
                      <w:rFonts w:ascii="宋体" w:hAnsi="宋体"/>
                      <w:b w:val="0"/>
                      <w:sz w:val="21"/>
                      <w:szCs w:val="21"/>
                    </w:rPr>
                    <w:t>药师开展监护工作。</w:t>
                  </w:r>
                </w:p>
              </w:tc>
            </w:tr>
            <w:tr w14:paraId="132E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14:paraId="17605FD0">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2</w:t>
                  </w:r>
                </w:p>
              </w:tc>
              <w:tc>
                <w:tcPr>
                  <w:tcW w:w="975" w:type="dxa"/>
                  <w:shd w:val="clear" w:color="auto" w:fill="auto"/>
                  <w:vAlign w:val="center"/>
                </w:tcPr>
                <w:p w14:paraId="1A3C4EC5">
                  <w:pPr>
                    <w:jc w:val="center"/>
                    <w:rPr>
                      <w:rFonts w:ascii="宋体" w:hAnsi="宋体"/>
                      <w:bCs/>
                      <w:szCs w:val="21"/>
                    </w:rPr>
                  </w:pPr>
                  <w:r>
                    <w:rPr>
                      <w:rFonts w:ascii="宋体" w:hAnsi="宋体"/>
                      <w:bCs/>
                      <w:szCs w:val="21"/>
                    </w:rPr>
                    <w:t>监护</w:t>
                  </w:r>
                </w:p>
                <w:p w14:paraId="46F5E3C8">
                  <w:pPr>
                    <w:jc w:val="center"/>
                    <w:rPr>
                      <w:rFonts w:hint="eastAsia" w:ascii="宋体" w:hAnsi="宋体"/>
                      <w:szCs w:val="21"/>
                    </w:rPr>
                  </w:pPr>
                  <w:r>
                    <w:rPr>
                      <w:rFonts w:ascii="宋体" w:hAnsi="宋体"/>
                      <w:bCs/>
                      <w:szCs w:val="21"/>
                    </w:rPr>
                    <w:t>评级</w:t>
                  </w:r>
                </w:p>
              </w:tc>
              <w:tc>
                <w:tcPr>
                  <w:tcW w:w="7790" w:type="dxa"/>
                  <w:shd w:val="clear" w:color="auto" w:fill="auto"/>
                  <w:vAlign w:val="center"/>
                </w:tcPr>
                <w:p w14:paraId="213E399D">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ascii="宋体" w:hAnsi="宋体"/>
                      <w:b w:val="0"/>
                      <w:sz w:val="21"/>
                      <w:szCs w:val="21"/>
                    </w:rPr>
                    <w:t>系统应具备监护评级机制，可根据异常检验结果、异常生命体征、重点关注药品、用药品种数、是否存在特殊治疗将患者自动划分为一级、二级、三级药学监护，</w:t>
                  </w:r>
                  <w:r>
                    <w:rPr>
                      <w:rFonts w:hint="eastAsia" w:ascii="宋体" w:hAnsi="宋体"/>
                      <w:b w:val="0"/>
                      <w:sz w:val="21"/>
                      <w:szCs w:val="21"/>
                      <w:lang w:val="en-US" w:eastAsia="zh-CN"/>
                    </w:rPr>
                    <w:t>提升智能判定、筛选精准度。</w:t>
                  </w:r>
                  <w:r>
                    <w:rPr>
                      <w:rFonts w:ascii="宋体" w:hAnsi="宋体"/>
                      <w:b w:val="0"/>
                      <w:sz w:val="21"/>
                      <w:szCs w:val="21"/>
                    </w:rPr>
                    <w:t>药师可进行人工确认。</w:t>
                  </w:r>
                </w:p>
              </w:tc>
            </w:tr>
            <w:tr w14:paraId="7196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14:paraId="58AB3634">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3</w:t>
                  </w:r>
                </w:p>
              </w:tc>
              <w:tc>
                <w:tcPr>
                  <w:tcW w:w="975" w:type="dxa"/>
                  <w:shd w:val="clear" w:color="auto" w:fill="auto"/>
                  <w:vAlign w:val="center"/>
                </w:tcPr>
                <w:p w14:paraId="66153F54">
                  <w:pPr>
                    <w:jc w:val="center"/>
                    <w:rPr>
                      <w:rFonts w:hint="eastAsia" w:ascii="宋体" w:hAnsi="宋体"/>
                      <w:szCs w:val="21"/>
                    </w:rPr>
                  </w:pPr>
                  <w:r>
                    <w:rPr>
                      <w:rFonts w:ascii="宋体" w:hAnsi="宋体"/>
                      <w:bCs/>
                      <w:szCs w:val="21"/>
                    </w:rPr>
                    <w:t>重点关注病例</w:t>
                  </w:r>
                </w:p>
              </w:tc>
              <w:tc>
                <w:tcPr>
                  <w:tcW w:w="7790" w:type="dxa"/>
                  <w:shd w:val="clear" w:color="auto" w:fill="auto"/>
                  <w:vAlign w:val="center"/>
                </w:tcPr>
                <w:p w14:paraId="4B0C1C1B">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3.1</w:t>
                  </w:r>
                  <w:r>
                    <w:rPr>
                      <w:rFonts w:ascii="宋体" w:hAnsi="宋体"/>
                      <w:b w:val="0"/>
                      <w:sz w:val="21"/>
                      <w:szCs w:val="21"/>
                    </w:rPr>
                    <w:t>系统应能自动筛选出需要重点监护的患者，包括新入院、待出院、一级/二级监护、未完成监护计划、肝肾损害、过敏、手术、执行中重点关注药品、执行中不合理医嘱、异常检验、异常体征</w:t>
                  </w:r>
                  <w:r>
                    <w:rPr>
                      <w:rFonts w:hint="eastAsia" w:ascii="宋体" w:hAnsi="宋体"/>
                      <w:b w:val="0"/>
                      <w:sz w:val="21"/>
                      <w:szCs w:val="21"/>
                    </w:rPr>
                    <w:t>和</w:t>
                  </w:r>
                  <w:r>
                    <w:rPr>
                      <w:rFonts w:ascii="宋体" w:hAnsi="宋体"/>
                      <w:b w:val="0"/>
                      <w:sz w:val="21"/>
                      <w:szCs w:val="21"/>
                    </w:rPr>
                    <w:t>自定义患者。</w:t>
                  </w:r>
                </w:p>
                <w:p w14:paraId="151A20D6">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3.2</w:t>
                  </w:r>
                  <w:r>
                    <w:rPr>
                      <w:rFonts w:ascii="宋体" w:hAnsi="宋体"/>
                      <w:b w:val="0"/>
                      <w:sz w:val="21"/>
                      <w:szCs w:val="21"/>
                    </w:rPr>
                    <w:t>系统应能根据药品、疾病特点自定义患者，如VTE异常且未使用抗凝药、尿隐血阳性、万古霉素联用阿奇霉素的患者，自定义要素包括但不限于药品、检验结果、基因检测、出血风险、VTE风险、手术、诊断和联合用药、用药天数、体重。</w:t>
                  </w:r>
                </w:p>
                <w:p w14:paraId="45524AF9">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3.3</w:t>
                  </w:r>
                  <w:r>
                    <w:rPr>
                      <w:rFonts w:ascii="宋体" w:hAnsi="宋体"/>
                      <w:b w:val="0"/>
                      <w:sz w:val="21"/>
                      <w:szCs w:val="21"/>
                    </w:rPr>
                    <w:t>自定义联合用药患者应提供同天使用、同点有交叉、同点有交叉或前后相差小于24小时的</w:t>
                  </w:r>
                  <w:r>
                    <w:rPr>
                      <w:rFonts w:hint="eastAsia" w:ascii="宋体" w:hAnsi="宋体"/>
                      <w:b w:val="0"/>
                      <w:sz w:val="21"/>
                      <w:szCs w:val="21"/>
                    </w:rPr>
                    <w:t>联用</w:t>
                  </w:r>
                  <w:r>
                    <w:rPr>
                      <w:rFonts w:ascii="宋体" w:hAnsi="宋体"/>
                      <w:b w:val="0"/>
                      <w:sz w:val="21"/>
                      <w:szCs w:val="21"/>
                    </w:rPr>
                    <w:t>方式。</w:t>
                  </w:r>
                </w:p>
              </w:tc>
            </w:tr>
            <w:tr w14:paraId="326F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4" w:type="dxa"/>
                  <w:shd w:val="clear" w:color="auto" w:fill="auto"/>
                  <w:vAlign w:val="center"/>
                </w:tcPr>
                <w:p w14:paraId="72B91551">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4</w:t>
                  </w:r>
                </w:p>
              </w:tc>
              <w:tc>
                <w:tcPr>
                  <w:tcW w:w="975" w:type="dxa"/>
                  <w:shd w:val="clear" w:color="auto" w:fill="auto"/>
                  <w:vAlign w:val="center"/>
                </w:tcPr>
                <w:p w14:paraId="36CB44E3">
                  <w:pPr>
                    <w:jc w:val="center"/>
                    <w:rPr>
                      <w:rFonts w:hint="eastAsia" w:ascii="宋体" w:hAnsi="宋体"/>
                      <w:szCs w:val="21"/>
                    </w:rPr>
                  </w:pPr>
                  <w:r>
                    <w:rPr>
                      <w:rFonts w:ascii="宋体" w:hAnsi="宋体"/>
                      <w:bCs/>
                      <w:szCs w:val="21"/>
                    </w:rPr>
                    <w:t>患者360视图</w:t>
                  </w:r>
                </w:p>
              </w:tc>
              <w:tc>
                <w:tcPr>
                  <w:tcW w:w="7790" w:type="dxa"/>
                  <w:shd w:val="clear" w:color="auto" w:fill="auto"/>
                  <w:vAlign w:val="center"/>
                </w:tcPr>
                <w:p w14:paraId="6FCFCB15">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4.1</w:t>
                  </w:r>
                  <w:r>
                    <w:rPr>
                      <w:rFonts w:ascii="宋体" w:hAnsi="宋体"/>
                      <w:b w:val="0"/>
                      <w:sz w:val="21"/>
                      <w:szCs w:val="21"/>
                    </w:rPr>
                    <w:t>系统应</w:t>
                  </w:r>
                  <w:r>
                    <w:rPr>
                      <w:rFonts w:hint="eastAsia" w:ascii="宋体" w:hAnsi="宋体"/>
                      <w:b w:val="0"/>
                      <w:sz w:val="21"/>
                      <w:szCs w:val="21"/>
                    </w:rPr>
                    <w:t>整合</w:t>
                  </w:r>
                  <w:r>
                    <w:rPr>
                      <w:rFonts w:ascii="宋体" w:hAnsi="宋体"/>
                      <w:b w:val="0"/>
                      <w:sz w:val="21"/>
                      <w:szCs w:val="21"/>
                    </w:rPr>
                    <w:t>患者数据</w:t>
                  </w:r>
                  <w:r>
                    <w:rPr>
                      <w:rFonts w:hint="eastAsia" w:ascii="宋体" w:hAnsi="宋体"/>
                      <w:b w:val="0"/>
                      <w:sz w:val="21"/>
                      <w:szCs w:val="21"/>
                    </w:rPr>
                    <w:t>方便</w:t>
                  </w:r>
                  <w:r>
                    <w:rPr>
                      <w:rFonts w:ascii="宋体" w:hAnsi="宋体"/>
                      <w:b w:val="0"/>
                      <w:sz w:val="21"/>
                      <w:szCs w:val="21"/>
                    </w:rPr>
                    <w:t>药师查看，包括患者基本信息、医嘱、检验、检查、手术、会诊、病程、历史诊疗、健康摘要</w:t>
                  </w:r>
                  <w:r>
                    <w:rPr>
                      <w:rFonts w:hint="eastAsia" w:ascii="宋体" w:hAnsi="宋体"/>
                      <w:b w:val="0"/>
                      <w:sz w:val="21"/>
                      <w:szCs w:val="21"/>
                    </w:rPr>
                    <w:t>、</w:t>
                  </w:r>
                  <w:r>
                    <w:rPr>
                      <w:rFonts w:ascii="宋体" w:hAnsi="宋体"/>
                      <w:b w:val="0"/>
                      <w:sz w:val="21"/>
                      <w:szCs w:val="21"/>
                    </w:rPr>
                    <w:t>用药时序图、药品联用图、风险提示。</w:t>
                  </w:r>
                </w:p>
                <w:p w14:paraId="691DB63D">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4.2</w:t>
                  </w:r>
                  <w:r>
                    <w:rPr>
                      <w:rFonts w:ascii="宋体" w:hAnsi="宋体"/>
                      <w:b w:val="0"/>
                      <w:sz w:val="21"/>
                      <w:szCs w:val="21"/>
                    </w:rPr>
                    <w:t>基本信息应包括但不限于患者姓名、年龄、标记、体表面积、体重指数、入院诊断、肌酐清除率、过敏史、基因检测结果、</w:t>
                  </w:r>
                  <w:r>
                    <w:rPr>
                      <w:rFonts w:hint="eastAsia" w:ascii="宋体" w:hAnsi="宋体"/>
                      <w:b w:val="0"/>
                      <w:sz w:val="21"/>
                      <w:szCs w:val="21"/>
                    </w:rPr>
                    <w:t>医药公式与评估量表及结果</w:t>
                  </w:r>
                  <w:r>
                    <w:rPr>
                      <w:rFonts w:ascii="宋体" w:hAnsi="宋体"/>
                      <w:b w:val="0"/>
                      <w:sz w:val="21"/>
                      <w:szCs w:val="21"/>
                    </w:rPr>
                    <w:t>。</w:t>
                  </w:r>
                </w:p>
                <w:p w14:paraId="6FF7DD8A">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4.3</w:t>
                  </w:r>
                  <w:r>
                    <w:rPr>
                      <w:rFonts w:ascii="宋体" w:hAnsi="宋体"/>
                      <w:b w:val="0"/>
                      <w:sz w:val="21"/>
                      <w:szCs w:val="21"/>
                    </w:rPr>
                    <w:t>系统应高亮显示患者在用医嘱，并提供药疗/非药疗、长期/临时、三日内新开医嘱、出院带药、特殊标记医嘱、特殊</w:t>
                  </w:r>
                  <w:r>
                    <w:rPr>
                      <w:rFonts w:hint="eastAsia" w:ascii="宋体" w:hAnsi="宋体"/>
                      <w:b w:val="0"/>
                      <w:sz w:val="21"/>
                      <w:szCs w:val="21"/>
                    </w:rPr>
                    <w:t>药品</w:t>
                  </w:r>
                  <w:r>
                    <w:rPr>
                      <w:rFonts w:ascii="宋体" w:hAnsi="宋体"/>
                      <w:b w:val="0"/>
                      <w:sz w:val="21"/>
                      <w:szCs w:val="21"/>
                    </w:rPr>
                    <w:t>属性供药师筛选。</w:t>
                  </w:r>
                </w:p>
                <w:p w14:paraId="62DEE245">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4.4</w:t>
                  </w:r>
                  <w:r>
                    <w:rPr>
                      <w:rFonts w:ascii="宋体" w:hAnsi="宋体"/>
                      <w:b w:val="0"/>
                      <w:sz w:val="21"/>
                      <w:szCs w:val="21"/>
                    </w:rPr>
                    <w:t>系统应提供用药时序图自定义功能，药师可根据科室</w:t>
                  </w:r>
                  <w:r>
                    <w:rPr>
                      <w:rFonts w:hint="eastAsia" w:ascii="宋体" w:hAnsi="宋体"/>
                      <w:b w:val="0"/>
                      <w:sz w:val="21"/>
                      <w:szCs w:val="21"/>
                    </w:rPr>
                    <w:t>、</w:t>
                  </w:r>
                  <w:r>
                    <w:rPr>
                      <w:rFonts w:ascii="宋体" w:hAnsi="宋体"/>
                      <w:b w:val="0"/>
                      <w:sz w:val="21"/>
                      <w:szCs w:val="21"/>
                    </w:rPr>
                    <w:t>疾病特点设置显示项目，包括呼吸、脉搏、体温、疼痛评分、血糖、内科/外科VTE风险、内科/外科出血风险、出/入量、血压、体重、身高、手术、病原学送检、药品、检验。</w:t>
                  </w:r>
                </w:p>
                <w:p w14:paraId="4CCF4B1B">
                  <w:pPr>
                    <w:pageBreakBefore w:val="0"/>
                    <w:widowControl w:val="0"/>
                    <w:kinsoku/>
                    <w:wordWrap/>
                    <w:overflowPunct/>
                    <w:topLinePunct w:val="0"/>
                    <w:autoSpaceDE/>
                    <w:autoSpaceDN/>
                    <w:bidi w:val="0"/>
                    <w:adjustRightInd/>
                    <w:snapToGrid/>
                    <w:spacing w:line="320" w:lineRule="exact"/>
                    <w:ind w:left="0"/>
                    <w:jc w:val="left"/>
                    <w:textAlignment w:val="auto"/>
                    <w:outlineLvl w:val="9"/>
                    <w:rPr>
                      <w:szCs w:val="21"/>
                    </w:rPr>
                  </w:pPr>
                  <w:r>
                    <w:rPr>
                      <w:rFonts w:hint="eastAsia" w:ascii="宋体" w:hAnsi="宋体"/>
                      <w:szCs w:val="21"/>
                    </w:rPr>
                    <w:t>4</w:t>
                  </w:r>
                  <w:r>
                    <w:rPr>
                      <w:rFonts w:ascii="宋体" w:hAnsi="宋体"/>
                      <w:szCs w:val="21"/>
                    </w:rPr>
                    <w:t>.5</w:t>
                  </w:r>
                  <w:r>
                    <w:rPr>
                      <w:rFonts w:hint="eastAsia" w:ascii="宋体" w:hAnsi="宋体"/>
                      <w:szCs w:val="21"/>
                    </w:rPr>
                    <w:t>系统应能提供数据录入功能，方便药师手动补录患者检验检查和诊断等数据。</w:t>
                  </w:r>
                </w:p>
              </w:tc>
            </w:tr>
            <w:tr w14:paraId="0AE9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14:paraId="4A806EBE">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5</w:t>
                  </w:r>
                </w:p>
              </w:tc>
              <w:tc>
                <w:tcPr>
                  <w:tcW w:w="975" w:type="dxa"/>
                  <w:shd w:val="clear" w:color="auto" w:fill="auto"/>
                  <w:vAlign w:val="center"/>
                </w:tcPr>
                <w:p w14:paraId="337498B0">
                  <w:pPr>
                    <w:jc w:val="center"/>
                    <w:rPr>
                      <w:rFonts w:hint="eastAsia" w:ascii="宋体" w:hAnsi="宋体"/>
                      <w:szCs w:val="21"/>
                    </w:rPr>
                  </w:pPr>
                  <w:r>
                    <w:rPr>
                      <w:rFonts w:ascii="宋体" w:hAnsi="宋体"/>
                      <w:bCs/>
                      <w:szCs w:val="21"/>
                    </w:rPr>
                    <w:t>监护全过程</w:t>
                  </w:r>
                </w:p>
              </w:tc>
              <w:tc>
                <w:tcPr>
                  <w:tcW w:w="7790" w:type="dxa"/>
                  <w:shd w:val="clear" w:color="auto" w:fill="auto"/>
                  <w:vAlign w:val="center"/>
                </w:tcPr>
                <w:p w14:paraId="3BECBB15">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5.1</w:t>
                  </w:r>
                  <w:r>
                    <w:rPr>
                      <w:rFonts w:ascii="宋体" w:hAnsi="宋体"/>
                      <w:b w:val="0"/>
                      <w:sz w:val="21"/>
                      <w:szCs w:val="21"/>
                    </w:rPr>
                    <w:t>系统应提供入院评估表，内容包括患者一般资料、入院状况、既往用药了解程序、主要实验室检查结果、风险评估、依从性评估、疾病认识。</w:t>
                  </w:r>
                </w:p>
                <w:p w14:paraId="23FC87A8">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5.2</w:t>
                  </w:r>
                  <w:r>
                    <w:rPr>
                      <w:rFonts w:ascii="宋体" w:hAnsi="宋体"/>
                      <w:b w:val="0"/>
                      <w:sz w:val="21"/>
                      <w:szCs w:val="21"/>
                    </w:rPr>
                    <w:t>系统应提供程序审查结果、药品说明书、注意事项辅助药师进行合理用药审查，应支持药师将不合理医嘱反馈给临床医生并记录医生采纳情况。</w:t>
                  </w:r>
                </w:p>
                <w:p w14:paraId="1BEFF8A4">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5.3</w:t>
                  </w:r>
                  <w:r>
                    <w:rPr>
                      <w:rFonts w:ascii="宋体" w:hAnsi="宋体"/>
                      <w:b w:val="0"/>
                      <w:sz w:val="21"/>
                      <w:szCs w:val="21"/>
                    </w:rPr>
                    <w:t>系统应能自动导入患者在用医嘱，快速生成药物重整计划，应支持药师将重整计划反馈给临床医生并记录医生采纳情况。</w:t>
                  </w:r>
                </w:p>
                <w:p w14:paraId="69DFEB84">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5.4</w:t>
                  </w:r>
                  <w:r>
                    <w:rPr>
                      <w:rFonts w:ascii="宋体" w:hAnsi="宋体"/>
                      <w:b w:val="0"/>
                      <w:sz w:val="21"/>
                      <w:szCs w:val="21"/>
                    </w:rPr>
                    <w:t>系统应提供导入监护计划、监护计划</w:t>
                  </w:r>
                  <w:r>
                    <w:rPr>
                      <w:rFonts w:hint="eastAsia" w:ascii="宋体" w:hAnsi="宋体"/>
                      <w:b w:val="0"/>
                      <w:sz w:val="21"/>
                      <w:szCs w:val="21"/>
                    </w:rPr>
                    <w:t>模板快捷输入</w:t>
                  </w:r>
                  <w:r>
                    <w:rPr>
                      <w:rFonts w:ascii="宋体" w:hAnsi="宋体"/>
                      <w:b w:val="0"/>
                      <w:sz w:val="21"/>
                      <w:szCs w:val="21"/>
                    </w:rPr>
                    <w:t>、医嘱/检验/检查自动导入功能、医嘱/检验值</w:t>
                  </w:r>
                  <w:r>
                    <w:rPr>
                      <w:rFonts w:hint="eastAsia" w:ascii="宋体" w:hAnsi="宋体"/>
                      <w:b w:val="0"/>
                      <w:sz w:val="21"/>
                      <w:szCs w:val="21"/>
                    </w:rPr>
                    <w:t>模糊</w:t>
                  </w:r>
                  <w:r>
                    <w:rPr>
                      <w:rFonts w:ascii="宋体" w:hAnsi="宋体"/>
                      <w:b w:val="0"/>
                      <w:sz w:val="21"/>
                      <w:szCs w:val="21"/>
                    </w:rPr>
                    <w:t>查找功能，帮助药师快速生成监护计划。</w:t>
                  </w:r>
                </w:p>
                <w:p w14:paraId="0B933F1E">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5.5</w:t>
                  </w:r>
                  <w:r>
                    <w:rPr>
                      <w:rFonts w:ascii="宋体" w:hAnsi="宋体"/>
                      <w:b w:val="0"/>
                      <w:sz w:val="21"/>
                      <w:szCs w:val="21"/>
                    </w:rPr>
                    <w:t>系统应提供监护日志模板，内容包括监护日期、病情变化、修正诊断、药学问诊、问题及患者反馈、治疗方案、新开药品、停嘱药品、实验室检查结果更新、药学分析与建议，药师应可根据需要自定义</w:t>
                  </w:r>
                  <w:r>
                    <w:rPr>
                      <w:rFonts w:hint="eastAsia" w:ascii="宋体" w:hAnsi="宋体"/>
                      <w:b w:val="0"/>
                      <w:sz w:val="21"/>
                      <w:szCs w:val="21"/>
                    </w:rPr>
                    <w:t>填写</w:t>
                  </w:r>
                  <w:r>
                    <w:rPr>
                      <w:rFonts w:ascii="宋体" w:hAnsi="宋体"/>
                      <w:b w:val="0"/>
                      <w:sz w:val="21"/>
                      <w:szCs w:val="21"/>
                    </w:rPr>
                    <w:t>内容。</w:t>
                  </w:r>
                </w:p>
                <w:p w14:paraId="10DB5223">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5.6</w:t>
                  </w:r>
                  <w:r>
                    <w:rPr>
                      <w:rFonts w:ascii="宋体" w:hAnsi="宋体"/>
                      <w:b w:val="0"/>
                      <w:sz w:val="21"/>
                      <w:szCs w:val="21"/>
                    </w:rPr>
                    <w:t>系统应能根据患者已有基因检测结果、血药浓度结果提醒药师制定个体化用药方案</w:t>
                  </w:r>
                  <w:r>
                    <w:rPr>
                      <w:rFonts w:hint="eastAsia" w:ascii="宋体" w:hAnsi="宋体"/>
                      <w:b w:val="0"/>
                      <w:sz w:val="21"/>
                      <w:szCs w:val="21"/>
                    </w:rPr>
                    <w:t>。</w:t>
                  </w:r>
                  <w:r>
                    <w:rPr>
                      <w:rFonts w:ascii="宋体" w:hAnsi="宋体"/>
                      <w:b w:val="0"/>
                      <w:sz w:val="21"/>
                      <w:szCs w:val="21"/>
                    </w:rPr>
                    <w:t>应提供单室模型静脉注射药动学公式</w:t>
                  </w:r>
                  <w:r>
                    <w:rPr>
                      <w:rFonts w:hint="eastAsia" w:ascii="宋体" w:hAnsi="宋体"/>
                      <w:b w:val="0"/>
                      <w:sz w:val="21"/>
                      <w:szCs w:val="21"/>
                    </w:rPr>
                    <w:t>协助</w:t>
                  </w:r>
                  <w:r>
                    <w:rPr>
                      <w:rFonts w:ascii="宋体" w:hAnsi="宋体"/>
                      <w:b w:val="0"/>
                      <w:sz w:val="21"/>
                      <w:szCs w:val="21"/>
                    </w:rPr>
                    <w:t>药师调整用量。</w:t>
                  </w:r>
                </w:p>
                <w:p w14:paraId="61886F24">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5.7</w:t>
                  </w:r>
                  <w:r>
                    <w:rPr>
                      <w:rFonts w:ascii="宋体" w:hAnsi="宋体"/>
                      <w:b w:val="0"/>
                      <w:sz w:val="21"/>
                      <w:szCs w:val="21"/>
                    </w:rPr>
                    <w:t>系统应支持药师将用药建议发送给临床医生并记录医生对于该用药建议的采纳情况，发送方式应分为医生工作站消息提示和医生工作站弹窗。</w:t>
                  </w:r>
                  <w:r>
                    <w:rPr>
                      <w:rFonts w:hint="eastAsia" w:ascii="宋体" w:hAnsi="宋体"/>
                      <w:b w:val="0"/>
                      <w:sz w:val="21"/>
                      <w:szCs w:val="21"/>
                    </w:rPr>
                    <w:t>系统应支持用药建议智能分析功能，应能自动读取并分析医生行为，智能判断医生是否采纳建议。药师可在程序评估结果的基础上人工确认。</w:t>
                  </w:r>
                </w:p>
                <w:p w14:paraId="53EB206D">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5.8</w:t>
                  </w:r>
                  <w:r>
                    <w:rPr>
                      <w:rFonts w:ascii="宋体" w:hAnsi="宋体"/>
                      <w:b w:val="0"/>
                      <w:sz w:val="21"/>
                      <w:szCs w:val="21"/>
                    </w:rPr>
                    <w:t>系统应能自动生成患者全程化药学监护记录，并根据监护记录内容生成“新入院患者药学监护记录表”“在院患者药学监护记录表”。</w:t>
                  </w:r>
                </w:p>
                <w:p w14:paraId="14ECD574">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hint="eastAsia" w:ascii="宋体" w:hAnsi="宋体"/>
                      <w:b w:val="0"/>
                      <w:sz w:val="21"/>
                      <w:szCs w:val="21"/>
                    </w:rPr>
                    <w:t>5.9</w:t>
                  </w:r>
                  <w:r>
                    <w:rPr>
                      <w:rFonts w:ascii="宋体" w:hAnsi="宋体"/>
                      <w:b w:val="0"/>
                      <w:sz w:val="21"/>
                      <w:szCs w:val="21"/>
                    </w:rPr>
                    <w:t>系统应支持医生在工作站、电子病历等系统中自主查看监护评级</w:t>
                  </w:r>
                  <w:r>
                    <w:rPr>
                      <w:rFonts w:hint="eastAsia" w:ascii="宋体" w:hAnsi="宋体"/>
                      <w:b w:val="0"/>
                      <w:sz w:val="21"/>
                      <w:szCs w:val="21"/>
                    </w:rPr>
                    <w:t>、</w:t>
                  </w:r>
                  <w:r>
                    <w:rPr>
                      <w:rFonts w:ascii="宋体" w:hAnsi="宋体"/>
                      <w:b w:val="0"/>
                      <w:sz w:val="21"/>
                      <w:szCs w:val="21"/>
                    </w:rPr>
                    <w:t>监护计划、监护日志、用药建议、药物重整计划、</w:t>
                  </w:r>
                  <w:r>
                    <w:rPr>
                      <w:rFonts w:hint="eastAsia" w:ascii="宋体" w:hAnsi="宋体"/>
                      <w:b w:val="0"/>
                      <w:sz w:val="21"/>
                      <w:szCs w:val="21"/>
                    </w:rPr>
                    <w:t>个体化</w:t>
                  </w:r>
                  <w:r>
                    <w:rPr>
                      <w:rFonts w:ascii="宋体" w:hAnsi="宋体"/>
                      <w:b w:val="0"/>
                      <w:sz w:val="21"/>
                      <w:szCs w:val="21"/>
                    </w:rPr>
                    <w:t>用药方案</w:t>
                  </w:r>
                  <w:r>
                    <w:rPr>
                      <w:rFonts w:hint="eastAsia" w:ascii="宋体" w:hAnsi="宋体"/>
                      <w:b w:val="0"/>
                      <w:sz w:val="21"/>
                      <w:szCs w:val="21"/>
                    </w:rPr>
                    <w:t>、</w:t>
                  </w:r>
                  <w:r>
                    <w:rPr>
                      <w:rFonts w:ascii="宋体" w:hAnsi="宋体"/>
                      <w:b w:val="0"/>
                      <w:sz w:val="21"/>
                      <w:szCs w:val="21"/>
                    </w:rPr>
                    <w:t>风险评估。</w:t>
                  </w:r>
                </w:p>
              </w:tc>
            </w:tr>
            <w:tr w14:paraId="4672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shd w:val="clear" w:color="auto" w:fill="auto"/>
                </w:tcPr>
                <w:p w14:paraId="601CD26C">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6</w:t>
                  </w:r>
                </w:p>
              </w:tc>
              <w:tc>
                <w:tcPr>
                  <w:tcW w:w="975" w:type="dxa"/>
                  <w:shd w:val="clear" w:color="auto" w:fill="auto"/>
                </w:tcPr>
                <w:p w14:paraId="6B57D824">
                  <w:pPr>
                    <w:jc w:val="center"/>
                    <w:rPr>
                      <w:rFonts w:ascii="宋体" w:hAnsi="宋体"/>
                      <w:bCs/>
                      <w:szCs w:val="21"/>
                    </w:rPr>
                  </w:pPr>
                  <w:r>
                    <w:rPr>
                      <w:rFonts w:ascii="宋体" w:hAnsi="宋体"/>
                      <w:bCs/>
                      <w:szCs w:val="21"/>
                    </w:rPr>
                    <w:t>带教</w:t>
                  </w:r>
                </w:p>
                <w:p w14:paraId="753DA30B">
                  <w:pPr>
                    <w:jc w:val="center"/>
                    <w:rPr>
                      <w:rFonts w:hint="eastAsia" w:ascii="宋体" w:hAnsi="宋体"/>
                      <w:bCs/>
                      <w:szCs w:val="21"/>
                    </w:rPr>
                  </w:pPr>
                  <w:r>
                    <w:rPr>
                      <w:rFonts w:ascii="宋体" w:hAnsi="宋体"/>
                      <w:bCs/>
                      <w:szCs w:val="21"/>
                    </w:rPr>
                    <w:t>学习</w:t>
                  </w:r>
                </w:p>
              </w:tc>
              <w:tc>
                <w:tcPr>
                  <w:tcW w:w="7790" w:type="dxa"/>
                  <w:shd w:val="clear" w:color="auto" w:fill="auto"/>
                  <w:vAlign w:val="center"/>
                </w:tcPr>
                <w:p w14:paraId="0F6F8374">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ascii="宋体" w:hAnsi="宋体"/>
                      <w:b w:val="0"/>
                      <w:sz w:val="21"/>
                      <w:szCs w:val="21"/>
                    </w:rPr>
                    <w:t>系统应提供带教模块，学生填写的药学记录需提交老师审核</w:t>
                  </w:r>
                  <w:r>
                    <w:rPr>
                      <w:rFonts w:hint="eastAsia" w:ascii="宋体" w:hAnsi="宋体"/>
                      <w:b w:val="0"/>
                      <w:sz w:val="21"/>
                      <w:szCs w:val="21"/>
                    </w:rPr>
                    <w:t>。</w:t>
                  </w:r>
                </w:p>
              </w:tc>
            </w:tr>
            <w:tr w14:paraId="2019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tcPr>
                <w:p w14:paraId="7BA2B642">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7</w:t>
                  </w:r>
                </w:p>
              </w:tc>
              <w:tc>
                <w:tcPr>
                  <w:tcW w:w="975" w:type="dxa"/>
                  <w:shd w:val="clear" w:color="auto" w:fill="auto"/>
                  <w:vAlign w:val="center"/>
                </w:tcPr>
                <w:p w14:paraId="0FF19BB4">
                  <w:pPr>
                    <w:jc w:val="center"/>
                    <w:rPr>
                      <w:rFonts w:ascii="宋体" w:hAnsi="宋体"/>
                      <w:bCs/>
                      <w:szCs w:val="21"/>
                    </w:rPr>
                  </w:pPr>
                  <w:r>
                    <w:rPr>
                      <w:rFonts w:ascii="宋体" w:hAnsi="宋体"/>
                      <w:bCs/>
                      <w:szCs w:val="21"/>
                    </w:rPr>
                    <w:t>药学</w:t>
                  </w:r>
                </w:p>
                <w:p w14:paraId="6766E5D2">
                  <w:pPr>
                    <w:jc w:val="center"/>
                    <w:rPr>
                      <w:rFonts w:hint="eastAsia" w:ascii="宋体" w:hAnsi="宋体"/>
                      <w:bCs/>
                      <w:szCs w:val="21"/>
                    </w:rPr>
                  </w:pPr>
                  <w:r>
                    <w:rPr>
                      <w:rFonts w:ascii="宋体" w:hAnsi="宋体"/>
                      <w:bCs/>
                      <w:szCs w:val="21"/>
                    </w:rPr>
                    <w:t>记录</w:t>
                  </w:r>
                </w:p>
              </w:tc>
              <w:tc>
                <w:tcPr>
                  <w:tcW w:w="7790" w:type="dxa"/>
                  <w:shd w:val="clear" w:color="auto" w:fill="auto"/>
                  <w:vAlign w:val="center"/>
                </w:tcPr>
                <w:p w14:paraId="10FAE6CD">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ascii="宋体" w:hAnsi="宋体"/>
                      <w:b w:val="0"/>
                      <w:sz w:val="21"/>
                      <w:szCs w:val="21"/>
                    </w:rPr>
                    <w:t>系统应能自动生成我的监护病例/查房备注/带教学习、全院监护记录/发送记录/带教学习、用药建议采纳情况等药学记录供药师查询、处理。</w:t>
                  </w:r>
                </w:p>
              </w:tc>
            </w:tr>
            <w:tr w14:paraId="4F9E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tcPr>
                <w:p w14:paraId="576044B1">
                  <w:pPr>
                    <w:pStyle w:val="4"/>
                    <w:keepNext w:val="0"/>
                    <w:keepLines w:val="0"/>
                    <w:numPr>
                      <w:ilvl w:val="0"/>
                      <w:numId w:val="0"/>
                    </w:numPr>
                    <w:contextualSpacing/>
                    <w:jc w:val="center"/>
                    <w:rPr>
                      <w:rFonts w:hint="eastAsia" w:ascii="宋体" w:hAnsi="宋体"/>
                      <w:b w:val="0"/>
                      <w:sz w:val="21"/>
                      <w:szCs w:val="21"/>
                    </w:rPr>
                  </w:pPr>
                  <w:r>
                    <w:rPr>
                      <w:rFonts w:hint="eastAsia" w:ascii="宋体" w:hAnsi="宋体"/>
                      <w:b w:val="0"/>
                      <w:sz w:val="21"/>
                      <w:szCs w:val="21"/>
                    </w:rPr>
                    <w:t>8</w:t>
                  </w:r>
                </w:p>
              </w:tc>
              <w:tc>
                <w:tcPr>
                  <w:tcW w:w="975" w:type="dxa"/>
                  <w:shd w:val="clear" w:color="auto" w:fill="auto"/>
                </w:tcPr>
                <w:p w14:paraId="4A34B9D1">
                  <w:pPr>
                    <w:jc w:val="center"/>
                    <w:rPr>
                      <w:rFonts w:ascii="宋体" w:hAnsi="宋体"/>
                      <w:bCs/>
                      <w:szCs w:val="21"/>
                    </w:rPr>
                  </w:pPr>
                  <w:r>
                    <w:rPr>
                      <w:rFonts w:ascii="宋体" w:hAnsi="宋体"/>
                      <w:bCs/>
                      <w:szCs w:val="21"/>
                    </w:rPr>
                    <w:t>药学</w:t>
                  </w:r>
                </w:p>
                <w:p w14:paraId="2FEAD2ED">
                  <w:pPr>
                    <w:jc w:val="center"/>
                    <w:rPr>
                      <w:rFonts w:hint="eastAsia" w:ascii="宋体" w:hAnsi="宋体"/>
                      <w:bCs/>
                      <w:szCs w:val="21"/>
                    </w:rPr>
                  </w:pPr>
                  <w:r>
                    <w:rPr>
                      <w:rFonts w:ascii="宋体" w:hAnsi="宋体"/>
                      <w:bCs/>
                      <w:szCs w:val="21"/>
                    </w:rPr>
                    <w:t>查房</w:t>
                  </w:r>
                </w:p>
              </w:tc>
              <w:tc>
                <w:tcPr>
                  <w:tcW w:w="7790" w:type="dxa"/>
                  <w:shd w:val="clear" w:color="auto" w:fill="auto"/>
                  <w:vAlign w:val="center"/>
                </w:tcPr>
                <w:p w14:paraId="56F152D1">
                  <w:pPr>
                    <w:pageBreakBefore w:val="0"/>
                    <w:widowControl w:val="0"/>
                    <w:kinsoku/>
                    <w:wordWrap/>
                    <w:overflowPunct/>
                    <w:topLinePunct w:val="0"/>
                    <w:autoSpaceDE/>
                    <w:autoSpaceDN/>
                    <w:bidi w:val="0"/>
                    <w:adjustRightInd/>
                    <w:snapToGrid/>
                    <w:spacing w:line="320" w:lineRule="exact"/>
                    <w:ind w:left="0"/>
                    <w:jc w:val="left"/>
                    <w:textAlignment w:val="auto"/>
                    <w:outlineLvl w:val="9"/>
                    <w:rPr>
                      <w:rFonts w:hint="eastAsia" w:ascii="宋体" w:hAnsi="宋体"/>
                      <w:b w:val="0"/>
                      <w:sz w:val="21"/>
                      <w:szCs w:val="21"/>
                    </w:rPr>
                  </w:pPr>
                  <w:r>
                    <w:rPr>
                      <w:rFonts w:ascii="宋体" w:hAnsi="宋体"/>
                      <w:b w:val="0"/>
                      <w:sz w:val="21"/>
                      <w:szCs w:val="21"/>
                    </w:rPr>
                    <w:t>系统应提供移动端程序</w:t>
                  </w:r>
                  <w:r>
                    <w:rPr>
                      <w:rFonts w:hint="eastAsia" w:ascii="宋体" w:hAnsi="宋体"/>
                      <w:b w:val="0"/>
                      <w:sz w:val="21"/>
                      <w:szCs w:val="21"/>
                    </w:rPr>
                    <w:t>协助</w:t>
                  </w:r>
                  <w:r>
                    <w:rPr>
                      <w:rFonts w:ascii="宋体" w:hAnsi="宋体"/>
                      <w:b w:val="0"/>
                      <w:sz w:val="21"/>
                      <w:szCs w:val="21"/>
                    </w:rPr>
                    <w:t>药师完成药学查房</w:t>
                  </w:r>
                  <w:r>
                    <w:rPr>
                      <w:rFonts w:hint="eastAsia" w:ascii="宋体" w:hAnsi="宋体"/>
                      <w:b w:val="0"/>
                      <w:sz w:val="21"/>
                      <w:szCs w:val="21"/>
                    </w:rPr>
                    <w:t>，移动端应支持</w:t>
                  </w:r>
                  <w:r>
                    <w:rPr>
                      <w:rFonts w:ascii="宋体" w:hAnsi="宋体"/>
                      <w:b w:val="0"/>
                      <w:sz w:val="21"/>
                      <w:szCs w:val="21"/>
                    </w:rPr>
                    <w:t>查看患者</w:t>
                  </w:r>
                  <w:r>
                    <w:rPr>
                      <w:rFonts w:hint="eastAsia" w:ascii="宋体" w:hAnsi="宋体"/>
                      <w:b w:val="0"/>
                      <w:sz w:val="21"/>
                      <w:szCs w:val="21"/>
                    </w:rPr>
                    <w:t>360视图并进行简单备注。应提供查房备注模板，方便药师快速填写。</w:t>
                  </w:r>
                </w:p>
              </w:tc>
            </w:tr>
            <w:tr w14:paraId="703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14:paraId="59C172A9">
                  <w:pPr>
                    <w:pStyle w:val="4"/>
                    <w:keepNext w:val="0"/>
                    <w:keepLines w:val="0"/>
                    <w:numPr>
                      <w:ilvl w:val="0"/>
                      <w:numId w:val="0"/>
                    </w:numPr>
                    <w:contextualSpacing/>
                    <w:jc w:val="center"/>
                    <w:rPr>
                      <w:rFonts w:hint="eastAsia" w:ascii="宋体" w:hAnsi="宋体" w:eastAsia="宋体"/>
                      <w:b w:val="0"/>
                      <w:sz w:val="21"/>
                      <w:szCs w:val="21"/>
                      <w:lang w:val="en-US" w:eastAsia="zh-CN"/>
                    </w:rPr>
                  </w:pPr>
                  <w:r>
                    <w:rPr>
                      <w:rFonts w:hint="eastAsia" w:ascii="宋体" w:hAnsi="宋体"/>
                      <w:b w:val="0"/>
                      <w:sz w:val="21"/>
                      <w:szCs w:val="21"/>
                      <w:lang w:val="en-US" w:eastAsia="zh-CN"/>
                    </w:rPr>
                    <w:t>9</w:t>
                  </w:r>
                </w:p>
              </w:tc>
              <w:tc>
                <w:tcPr>
                  <w:tcW w:w="975" w:type="dxa"/>
                  <w:shd w:val="clear" w:color="auto" w:fill="auto"/>
                  <w:vAlign w:val="center"/>
                </w:tcPr>
                <w:p w14:paraId="5A269BC9">
                  <w:pPr>
                    <w:jc w:val="center"/>
                    <w:rPr>
                      <w:rFonts w:hint="eastAsia" w:ascii="宋体" w:hAnsi="宋体"/>
                      <w:bCs/>
                      <w:szCs w:val="21"/>
                      <w:lang w:val="en-US" w:eastAsia="zh-CN"/>
                    </w:rPr>
                  </w:pPr>
                  <w:r>
                    <w:rPr>
                      <w:rFonts w:hint="eastAsia" w:ascii="宋体" w:hAnsi="宋体"/>
                      <w:bCs/>
                      <w:szCs w:val="21"/>
                      <w:lang w:val="en-US" w:eastAsia="zh-CN"/>
                    </w:rPr>
                    <w:t>人工</w:t>
                  </w:r>
                </w:p>
                <w:p w14:paraId="2826FA6D">
                  <w:pPr>
                    <w:jc w:val="center"/>
                    <w:rPr>
                      <w:rFonts w:hint="default" w:ascii="宋体" w:hAnsi="宋体" w:eastAsia="宋体"/>
                      <w:bCs/>
                      <w:szCs w:val="21"/>
                      <w:lang w:val="en-US" w:eastAsia="zh-CN"/>
                    </w:rPr>
                  </w:pPr>
                  <w:r>
                    <w:rPr>
                      <w:rFonts w:hint="eastAsia" w:ascii="宋体" w:hAnsi="宋体"/>
                      <w:bCs/>
                      <w:szCs w:val="21"/>
                      <w:lang w:val="en-US" w:eastAsia="zh-CN"/>
                    </w:rPr>
                    <w:t>智能</w:t>
                  </w:r>
                </w:p>
              </w:tc>
              <w:tc>
                <w:tcPr>
                  <w:tcW w:w="7790" w:type="dxa"/>
                  <w:shd w:val="clear" w:color="auto" w:fill="auto"/>
                  <w:vAlign w:val="center"/>
                </w:tcPr>
                <w:p w14:paraId="18A9F115">
                  <w:pPr>
                    <w:pageBreakBefore w:val="0"/>
                    <w:widowControl w:val="0"/>
                    <w:kinsoku/>
                    <w:wordWrap/>
                    <w:overflowPunct/>
                    <w:topLinePunct w:val="0"/>
                    <w:autoSpaceDE/>
                    <w:autoSpaceDN/>
                    <w:bidi w:val="0"/>
                    <w:adjustRightInd/>
                    <w:snapToGrid/>
                    <w:spacing w:line="320" w:lineRule="exact"/>
                    <w:ind w:left="0"/>
                    <w:jc w:val="both"/>
                    <w:textAlignment w:val="auto"/>
                    <w:outlineLvl w:val="9"/>
                    <w:rPr>
                      <w:rFonts w:ascii="宋体" w:hAnsi="宋体"/>
                      <w:b w:val="0"/>
                      <w:sz w:val="21"/>
                      <w:szCs w:val="21"/>
                    </w:rPr>
                  </w:pPr>
                  <w:r>
                    <w:rPr>
                      <w:rFonts w:hint="eastAsia" w:ascii="宋体" w:hAnsi="宋体"/>
                      <w:b w:val="0"/>
                      <w:sz w:val="21"/>
                      <w:szCs w:val="21"/>
                      <w:lang w:val="en-US" w:eastAsia="zh-CN"/>
                    </w:rPr>
                    <w:t>按人工智能使用趋势，后续接入相关功能，优化服务。</w:t>
                  </w:r>
                </w:p>
              </w:tc>
            </w:tr>
          </w:tbl>
          <w:p w14:paraId="6F97DB5D">
            <w:pPr>
              <w:pStyle w:val="32"/>
              <w:spacing w:line="360" w:lineRule="auto"/>
              <w:ind w:left="0"/>
              <w:rPr>
                <w:rFonts w:hint="eastAsia" w:ascii="宋体" w:hAnsi="宋体" w:eastAsia="宋体"/>
              </w:rPr>
            </w:pPr>
          </w:p>
          <w:tbl>
            <w:tblPr>
              <w:tblStyle w:val="17"/>
              <w:tblW w:w="92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45"/>
              <w:gridCol w:w="7470"/>
            </w:tblGrid>
            <w:tr w14:paraId="22E2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07F4DD59">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1</w:t>
                  </w:r>
                </w:p>
              </w:tc>
              <w:tc>
                <w:tcPr>
                  <w:tcW w:w="1245" w:type="dxa"/>
                  <w:vMerge w:val="restart"/>
                </w:tcPr>
                <w:p w14:paraId="59981462">
                  <w:pPr>
                    <w:spacing w:line="300" w:lineRule="exact"/>
                    <w:jc w:val="center"/>
                    <w:rPr>
                      <w:rFonts w:hint="eastAsia" w:ascii="宋体" w:hAnsi="宋体" w:eastAsia="宋体" w:cs="Arial"/>
                      <w:bCs/>
                      <w:szCs w:val="21"/>
                    </w:rPr>
                  </w:pPr>
                </w:p>
                <w:p w14:paraId="4FF002EA">
                  <w:pPr>
                    <w:spacing w:line="300" w:lineRule="exact"/>
                    <w:jc w:val="center"/>
                    <w:rPr>
                      <w:rFonts w:hint="eastAsia" w:ascii="宋体" w:hAnsi="宋体" w:eastAsia="宋体" w:cs="Arial"/>
                      <w:bCs/>
                      <w:szCs w:val="21"/>
                    </w:rPr>
                  </w:pPr>
                </w:p>
                <w:p w14:paraId="7A83D5F8">
                  <w:pPr>
                    <w:spacing w:line="300" w:lineRule="exact"/>
                    <w:jc w:val="center"/>
                    <w:rPr>
                      <w:rFonts w:hint="eastAsia" w:ascii="宋体" w:hAnsi="宋体" w:eastAsia="宋体" w:cs="Arial"/>
                      <w:bCs/>
                      <w:szCs w:val="21"/>
                    </w:rPr>
                  </w:pPr>
                </w:p>
                <w:p w14:paraId="14E07FC0">
                  <w:pPr>
                    <w:spacing w:line="300" w:lineRule="exact"/>
                    <w:jc w:val="center"/>
                    <w:rPr>
                      <w:rFonts w:hint="eastAsia" w:ascii="宋体" w:hAnsi="宋体" w:eastAsia="宋体" w:cs="Arial"/>
                      <w:bCs/>
                      <w:szCs w:val="21"/>
                    </w:rPr>
                  </w:pPr>
                </w:p>
                <w:p w14:paraId="4DDD8C21">
                  <w:pPr>
                    <w:spacing w:line="300" w:lineRule="exact"/>
                    <w:jc w:val="center"/>
                    <w:rPr>
                      <w:rFonts w:hint="eastAsia" w:ascii="宋体" w:hAnsi="宋体" w:eastAsia="宋体" w:cs="Arial"/>
                      <w:bCs/>
                      <w:szCs w:val="21"/>
                    </w:rPr>
                  </w:pPr>
                </w:p>
                <w:p w14:paraId="0BE3F026">
                  <w:pPr>
                    <w:spacing w:line="300" w:lineRule="exact"/>
                    <w:jc w:val="center"/>
                    <w:rPr>
                      <w:rFonts w:hint="eastAsia" w:ascii="宋体" w:hAnsi="宋体" w:eastAsia="宋体" w:cs="Arial"/>
                      <w:bCs/>
                      <w:szCs w:val="21"/>
                    </w:rPr>
                  </w:pPr>
                </w:p>
                <w:p w14:paraId="6501E299">
                  <w:pPr>
                    <w:spacing w:line="300" w:lineRule="exact"/>
                    <w:jc w:val="center"/>
                    <w:rPr>
                      <w:rFonts w:hint="eastAsia" w:ascii="宋体" w:hAnsi="宋体" w:eastAsia="宋体" w:cs="Arial"/>
                      <w:bCs/>
                      <w:szCs w:val="21"/>
                    </w:rPr>
                  </w:pPr>
                  <w:r>
                    <w:rPr>
                      <w:rFonts w:ascii="宋体" w:hAnsi="宋体" w:eastAsia="宋体" w:cs="Arial"/>
                      <w:bCs/>
                      <w:szCs w:val="21"/>
                    </w:rPr>
                    <w:t>★</w:t>
                  </w:r>
                  <w:r>
                    <w:rPr>
                      <w:rFonts w:hint="eastAsia" w:ascii="宋体" w:hAnsi="宋体" w:eastAsia="宋体" w:cs="Arial"/>
                      <w:bCs/>
                      <w:szCs w:val="21"/>
                    </w:rPr>
                    <w:t>基础</w:t>
                  </w:r>
                </w:p>
                <w:p w14:paraId="6024AECB">
                  <w:pPr>
                    <w:spacing w:line="300" w:lineRule="exact"/>
                    <w:jc w:val="center"/>
                    <w:rPr>
                      <w:rFonts w:hint="eastAsia" w:ascii="宋体" w:hAnsi="宋体" w:eastAsia="宋体" w:cs="Arial"/>
                      <w:bCs/>
                      <w:szCs w:val="21"/>
                    </w:rPr>
                  </w:pPr>
                  <w:r>
                    <w:rPr>
                      <w:rFonts w:hint="eastAsia" w:ascii="宋体" w:hAnsi="宋体" w:eastAsia="宋体" w:cs="Arial"/>
                      <w:bCs/>
                      <w:szCs w:val="21"/>
                    </w:rPr>
                    <w:t>要求</w:t>
                  </w:r>
                </w:p>
              </w:tc>
              <w:tc>
                <w:tcPr>
                  <w:tcW w:w="7470" w:type="dxa"/>
                  <w:vAlign w:val="center"/>
                </w:tcPr>
                <w:p w14:paraId="5530D660">
                  <w:pPr>
                    <w:spacing w:line="300" w:lineRule="exact"/>
                    <w:rPr>
                      <w:rFonts w:hint="eastAsia" w:ascii="宋体" w:hAnsi="宋体" w:eastAsia="宋体" w:cs="Arial"/>
                      <w:bCs/>
                      <w:szCs w:val="21"/>
                    </w:rPr>
                  </w:pPr>
                  <w:r>
                    <w:rPr>
                      <w:rFonts w:ascii="宋体" w:hAnsi="宋体" w:eastAsia="宋体" w:cs="Arial"/>
                      <w:bCs/>
                      <w:szCs w:val="21"/>
                    </w:rPr>
                    <w:t>与</w:t>
                  </w:r>
                  <w:r>
                    <w:rPr>
                      <w:rFonts w:hint="eastAsia" w:ascii="宋体" w:hAnsi="宋体" w:eastAsia="宋体" w:cs="Arial"/>
                      <w:bCs/>
                      <w:szCs w:val="21"/>
                    </w:rPr>
                    <w:t>自贡市第三人民医院</w:t>
                  </w:r>
                  <w:r>
                    <w:rPr>
                      <w:rFonts w:ascii="宋体" w:hAnsi="宋体" w:eastAsia="宋体" w:cs="Arial"/>
                      <w:bCs/>
                      <w:szCs w:val="21"/>
                    </w:rPr>
                    <w:t>现有前置审方系统</w:t>
                  </w:r>
                  <w:r>
                    <w:rPr>
                      <w:rFonts w:hint="eastAsia" w:ascii="宋体" w:hAnsi="宋体" w:eastAsia="宋体" w:cs="Arial"/>
                      <w:bCs/>
                      <w:szCs w:val="21"/>
                    </w:rPr>
                    <w:t>，合理用药系统</w:t>
                  </w:r>
                  <w:r>
                    <w:rPr>
                      <w:rFonts w:ascii="宋体" w:hAnsi="宋体" w:eastAsia="宋体" w:cs="Arial"/>
                      <w:bCs/>
                      <w:szCs w:val="21"/>
                    </w:rPr>
                    <w:t>（联系方式：028-85174760）无缝对接，药品审核规则保持一致，并与现有HIS系统无缝对接。应承诺中标后能做好与医院现有前置审方系统的对接工作，并能在实现数据利用的同时确保数据的安全。如果虚假承诺导致中标并签订合同，却无法实现者，除合同无效外，将被视为虚假应标，并被追究法律责任</w:t>
                  </w:r>
                </w:p>
                <w:p w14:paraId="4EDF3D5D">
                  <w:pPr>
                    <w:spacing w:line="300" w:lineRule="exact"/>
                    <w:rPr>
                      <w:rFonts w:hint="eastAsia" w:ascii="宋体" w:hAnsi="宋体" w:eastAsia="宋体" w:cs="Arial"/>
                      <w:bCs/>
                      <w:szCs w:val="21"/>
                    </w:rPr>
                  </w:pPr>
                  <w:r>
                    <w:rPr>
                      <w:rFonts w:ascii="宋体" w:hAnsi="宋体" w:eastAsia="宋体" w:cs="Arial"/>
                      <w:bCs/>
                      <w:szCs w:val="21"/>
                    </w:rPr>
                    <w:t>提供承诺函并加盖投标人公章；内容须体现投标人负责承担相关厂商协调义务及可能涉及的一切对接费用）</w:t>
                  </w:r>
                </w:p>
              </w:tc>
            </w:tr>
            <w:tr w14:paraId="392B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2A1F8414">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2</w:t>
                  </w:r>
                </w:p>
              </w:tc>
              <w:tc>
                <w:tcPr>
                  <w:tcW w:w="1245" w:type="dxa"/>
                  <w:vMerge w:val="continue"/>
                </w:tcPr>
                <w:p w14:paraId="5E62B51C">
                  <w:pPr>
                    <w:spacing w:line="300" w:lineRule="exact"/>
                    <w:rPr>
                      <w:rFonts w:hint="eastAsia" w:ascii="宋体" w:hAnsi="宋体" w:eastAsia="宋体" w:cs="Arial"/>
                      <w:bCs/>
                      <w:szCs w:val="21"/>
                    </w:rPr>
                  </w:pPr>
                </w:p>
              </w:tc>
              <w:tc>
                <w:tcPr>
                  <w:tcW w:w="7470" w:type="dxa"/>
                  <w:vAlign w:val="center"/>
                </w:tcPr>
                <w:p w14:paraId="0998BFB3">
                  <w:pPr>
                    <w:spacing w:line="300" w:lineRule="exact"/>
                    <w:rPr>
                      <w:rFonts w:hint="eastAsia" w:ascii="宋体" w:hAnsi="宋体" w:eastAsia="宋体" w:cs="Arial"/>
                      <w:bCs/>
                      <w:szCs w:val="21"/>
                    </w:rPr>
                  </w:pPr>
                  <w:r>
                    <w:rPr>
                      <w:rFonts w:ascii="宋体" w:hAnsi="宋体" w:eastAsia="宋体" w:cs="Arial"/>
                      <w:bCs/>
                      <w:szCs w:val="21"/>
                    </w:rPr>
                    <w:t>为减少实施工作量，本项目应支持从</w:t>
                  </w:r>
                  <w:r>
                    <w:rPr>
                      <w:rFonts w:hint="eastAsia" w:ascii="宋体" w:hAnsi="宋体" w:eastAsia="宋体" w:cs="Arial"/>
                      <w:bCs/>
                      <w:szCs w:val="21"/>
                    </w:rPr>
                    <w:t>自贡市第三人民医院</w:t>
                  </w:r>
                  <w:r>
                    <w:rPr>
                      <w:rFonts w:ascii="宋体" w:hAnsi="宋体" w:eastAsia="宋体" w:cs="Arial"/>
                      <w:bCs/>
                      <w:szCs w:val="21"/>
                    </w:rPr>
                    <w:t>现有</w:t>
                  </w:r>
                  <w:r>
                    <w:rPr>
                      <w:rFonts w:hint="eastAsia" w:ascii="宋体" w:hAnsi="宋体" w:eastAsia="宋体" w:cs="Arial"/>
                      <w:bCs/>
                      <w:szCs w:val="21"/>
                    </w:rPr>
                    <w:t>前置审方</w:t>
                  </w:r>
                  <w:r>
                    <w:rPr>
                      <w:rFonts w:ascii="宋体" w:hAnsi="宋体" w:eastAsia="宋体" w:cs="Arial"/>
                      <w:bCs/>
                      <w:szCs w:val="21"/>
                    </w:rPr>
                    <w:t>系统获取用药数据，并提供承诺函。</w:t>
                  </w:r>
                </w:p>
              </w:tc>
            </w:tr>
            <w:tr w14:paraId="0B6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295AD760">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3</w:t>
                  </w:r>
                </w:p>
              </w:tc>
              <w:tc>
                <w:tcPr>
                  <w:tcW w:w="1245" w:type="dxa"/>
                  <w:vMerge w:val="continue"/>
                </w:tcPr>
                <w:p w14:paraId="3543FB3E">
                  <w:pPr>
                    <w:spacing w:line="300" w:lineRule="exact"/>
                    <w:rPr>
                      <w:rFonts w:hint="eastAsia" w:ascii="宋体" w:hAnsi="宋体" w:eastAsia="宋体" w:cs="Arial"/>
                      <w:bCs/>
                      <w:szCs w:val="21"/>
                    </w:rPr>
                  </w:pPr>
                </w:p>
              </w:tc>
              <w:tc>
                <w:tcPr>
                  <w:tcW w:w="7470" w:type="dxa"/>
                  <w:vAlign w:val="center"/>
                </w:tcPr>
                <w:p w14:paraId="6CBFC4B3">
                  <w:pPr>
                    <w:spacing w:line="300" w:lineRule="exact"/>
                    <w:rPr>
                      <w:rFonts w:hint="eastAsia" w:ascii="宋体" w:hAnsi="宋体" w:eastAsia="宋体" w:cs="Arial"/>
                      <w:bCs/>
                      <w:szCs w:val="21"/>
                    </w:rPr>
                  </w:pPr>
                  <w:r>
                    <w:rPr>
                      <w:rFonts w:ascii="宋体" w:hAnsi="宋体" w:eastAsia="宋体" w:cs="Arial"/>
                      <w:bCs/>
                      <w:szCs w:val="21"/>
                    </w:rPr>
                    <w:t>为减少医生端反复操作，相关</w:t>
                  </w:r>
                  <w:r>
                    <w:rPr>
                      <w:rFonts w:hint="eastAsia" w:ascii="宋体" w:hAnsi="宋体" w:eastAsia="宋体" w:cs="Arial"/>
                      <w:bCs/>
                      <w:szCs w:val="21"/>
                    </w:rPr>
                    <w:t>前置审方系统</w:t>
                  </w:r>
                  <w:r>
                    <w:rPr>
                      <w:rFonts w:ascii="宋体" w:hAnsi="宋体" w:eastAsia="宋体" w:cs="Arial"/>
                      <w:bCs/>
                      <w:szCs w:val="21"/>
                    </w:rPr>
                    <w:t>提示应与</w:t>
                  </w:r>
                  <w:r>
                    <w:rPr>
                      <w:rFonts w:hint="eastAsia" w:ascii="宋体" w:hAnsi="宋体" w:eastAsia="宋体" w:cs="Arial"/>
                      <w:bCs/>
                      <w:szCs w:val="21"/>
                    </w:rPr>
                    <w:t>自贡市第三人民医院</w:t>
                  </w:r>
                  <w:r>
                    <w:rPr>
                      <w:rFonts w:ascii="宋体" w:hAnsi="宋体" w:eastAsia="宋体" w:cs="Arial"/>
                      <w:bCs/>
                      <w:szCs w:val="21"/>
                    </w:rPr>
                    <w:t>现有医生端</w:t>
                  </w:r>
                  <w:r>
                    <w:rPr>
                      <w:rFonts w:hint="eastAsia" w:ascii="宋体" w:hAnsi="宋体" w:eastAsia="宋体" w:cs="Arial"/>
                      <w:bCs/>
                      <w:szCs w:val="21"/>
                    </w:rPr>
                    <w:t>前置审方系统</w:t>
                  </w:r>
                  <w:r>
                    <w:rPr>
                      <w:rFonts w:ascii="宋体" w:hAnsi="宋体" w:eastAsia="宋体" w:cs="Arial"/>
                      <w:bCs/>
                      <w:szCs w:val="21"/>
                    </w:rPr>
                    <w:t>整合，并提供承诺函。</w:t>
                  </w:r>
                </w:p>
              </w:tc>
            </w:tr>
            <w:tr w14:paraId="193E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1C8D1D19">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4</w:t>
                  </w:r>
                </w:p>
              </w:tc>
              <w:tc>
                <w:tcPr>
                  <w:tcW w:w="1245" w:type="dxa"/>
                  <w:vMerge w:val="continue"/>
                </w:tcPr>
                <w:p w14:paraId="79944A3B">
                  <w:pPr>
                    <w:spacing w:line="300" w:lineRule="exact"/>
                    <w:rPr>
                      <w:rFonts w:hint="eastAsia" w:ascii="宋体" w:hAnsi="宋体" w:eastAsia="宋体" w:cs="Arial"/>
                      <w:bCs/>
                      <w:szCs w:val="21"/>
                    </w:rPr>
                  </w:pPr>
                </w:p>
              </w:tc>
              <w:tc>
                <w:tcPr>
                  <w:tcW w:w="7470" w:type="dxa"/>
                  <w:vAlign w:val="center"/>
                </w:tcPr>
                <w:p w14:paraId="268484F4">
                  <w:pPr>
                    <w:spacing w:line="300" w:lineRule="exact"/>
                    <w:rPr>
                      <w:rFonts w:hint="eastAsia" w:ascii="宋体" w:hAnsi="宋体" w:eastAsia="宋体" w:cs="Arial"/>
                      <w:bCs/>
                      <w:szCs w:val="21"/>
                    </w:rPr>
                  </w:pPr>
                  <w:r>
                    <w:rPr>
                      <w:rFonts w:ascii="宋体" w:hAnsi="宋体" w:eastAsia="宋体" w:cs="Arial"/>
                      <w:bCs/>
                      <w:szCs w:val="21"/>
                    </w:rPr>
                    <w:t>为减少药师端反复操作，可根据本项目需要获取</w:t>
                  </w:r>
                  <w:r>
                    <w:rPr>
                      <w:rFonts w:hint="eastAsia" w:ascii="宋体" w:hAnsi="宋体" w:eastAsia="宋体" w:cs="Arial"/>
                      <w:bCs/>
                      <w:szCs w:val="21"/>
                    </w:rPr>
                    <w:t>自贡市第三人民医院前置审方</w:t>
                  </w:r>
                  <w:r>
                    <w:rPr>
                      <w:rFonts w:ascii="宋体" w:hAnsi="宋体" w:eastAsia="宋体" w:cs="Arial"/>
                      <w:bCs/>
                      <w:szCs w:val="21"/>
                    </w:rPr>
                    <w:t>系统中维护的药品基础数据，并提供承诺函。</w:t>
                  </w:r>
                </w:p>
              </w:tc>
            </w:tr>
            <w:tr w14:paraId="1D8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7E09EE5E">
                  <w:pPr>
                    <w:spacing w:line="300" w:lineRule="exact"/>
                    <w:jc w:val="center"/>
                    <w:rPr>
                      <w:rFonts w:hint="eastAsia" w:ascii="宋体" w:hAnsi="宋体" w:eastAsia="宋体" w:cs="Times New Roman"/>
                      <w:sz w:val="20"/>
                      <w:szCs w:val="20"/>
                    </w:rPr>
                  </w:pPr>
                  <w:r>
                    <w:rPr>
                      <w:rFonts w:hint="eastAsia" w:ascii="宋体" w:hAnsi="宋体" w:eastAsia="宋体" w:cs="Times New Roman"/>
                      <w:sz w:val="20"/>
                      <w:szCs w:val="20"/>
                    </w:rPr>
                    <w:t>5</w:t>
                  </w:r>
                </w:p>
              </w:tc>
              <w:tc>
                <w:tcPr>
                  <w:tcW w:w="1245" w:type="dxa"/>
                  <w:vMerge w:val="continue"/>
                </w:tcPr>
                <w:p w14:paraId="3C1B22FC">
                  <w:pPr>
                    <w:spacing w:line="300" w:lineRule="exact"/>
                    <w:rPr>
                      <w:rFonts w:hint="eastAsia" w:ascii="宋体" w:hAnsi="宋体" w:eastAsia="宋体" w:cs="Arial"/>
                      <w:bCs/>
                      <w:szCs w:val="21"/>
                    </w:rPr>
                  </w:pPr>
                </w:p>
              </w:tc>
              <w:tc>
                <w:tcPr>
                  <w:tcW w:w="7470" w:type="dxa"/>
                  <w:vAlign w:val="center"/>
                </w:tcPr>
                <w:p w14:paraId="37FEB6B7">
                  <w:pPr>
                    <w:spacing w:line="300" w:lineRule="exact"/>
                    <w:rPr>
                      <w:rFonts w:hint="eastAsia" w:ascii="宋体" w:hAnsi="宋体" w:eastAsia="宋体" w:cs="Arial"/>
                      <w:bCs/>
                      <w:szCs w:val="21"/>
                    </w:rPr>
                  </w:pPr>
                  <w:r>
                    <w:rPr>
                      <w:rFonts w:hint="eastAsia" w:ascii="宋体" w:hAnsi="宋体" w:eastAsia="宋体" w:cs="Arial"/>
                      <w:bCs/>
                      <w:szCs w:val="21"/>
                    </w:rPr>
                    <w:t>≥9家基层医院HIS对接 （省基层卫生信息系统）</w:t>
                  </w:r>
                </w:p>
              </w:tc>
            </w:tr>
          </w:tbl>
          <w:p w14:paraId="541E3B31">
            <w:pPr>
              <w:pStyle w:val="32"/>
              <w:spacing w:line="380" w:lineRule="exact"/>
              <w:ind w:left="0"/>
              <w:rPr>
                <w:rFonts w:hint="eastAsia" w:ascii="宋体" w:hAnsi="宋体" w:eastAsia="宋体" w:cs="宋体"/>
                <w:b/>
                <w:bCs/>
                <w:sz w:val="24"/>
                <w:lang w:val="en-US" w:eastAsia="zh-CN" w:bidi="ar-SA"/>
              </w:rPr>
            </w:pPr>
            <w:r>
              <w:rPr>
                <w:rFonts w:hint="eastAsia" w:ascii="宋体" w:hAnsi="宋体" w:eastAsia="宋体" w:cs="宋体"/>
                <w:b/>
                <w:bCs/>
                <w:sz w:val="24"/>
                <w:lang w:val="en-US" w:eastAsia="zh-CN" w:bidi="ar-SA"/>
              </w:rPr>
              <w:t>功能概述</w:t>
            </w:r>
          </w:p>
          <w:p w14:paraId="67272B55">
            <w:pPr>
              <w:pStyle w:val="32"/>
              <w:spacing w:line="380" w:lineRule="exact"/>
              <w:ind w:left="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1.支持系统管理员根据医联体设置医疗机构管理范围，实现区域内医疗机构管理权限分级管理。</w:t>
            </w:r>
          </w:p>
          <w:p w14:paraId="13C30B11">
            <w:pPr>
              <w:pStyle w:val="32"/>
              <w:spacing w:line="380" w:lineRule="exact"/>
              <w:ind w:left="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2.支持区域内医疗机构管理员设置院内不同用户的系统功能使用权限，实现功能权限分级管理。</w:t>
            </w:r>
          </w:p>
          <w:p w14:paraId="4DC91EE3">
            <w:pPr>
              <w:pStyle w:val="40"/>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3.支持区域内医疗机构院内不同用户根据权限，维护管辖范围内医疗机构审查规则，可发挥审方、点评、干预等相关功能。</w:t>
            </w:r>
          </w:p>
          <w:p w14:paraId="5891D2BC">
            <w:pPr>
              <w:pStyle w:val="40"/>
              <w:jc w:val="both"/>
              <w:rPr>
                <w:rFonts w:ascii="宋体" w:hAnsi="宋体" w:eastAsia="宋体" w:cs="宋体"/>
                <w:b/>
                <w:bCs/>
                <w:sz w:val="24"/>
              </w:rPr>
            </w:pPr>
            <w:r>
              <w:rPr>
                <w:rFonts w:ascii="宋体" w:hAnsi="宋体" w:eastAsia="宋体" w:cs="宋体"/>
                <w:b/>
                <w:bCs/>
                <w:sz w:val="24"/>
              </w:rPr>
              <w:t>服务要求</w:t>
            </w:r>
          </w:p>
          <w:p w14:paraId="7CF56219">
            <w:pPr>
              <w:pStyle w:val="40"/>
              <w:spacing w:line="360" w:lineRule="auto"/>
              <w:jc w:val="both"/>
              <w:rPr>
                <w:rFonts w:ascii="宋体" w:hAnsi="宋体" w:cs="宋体"/>
                <w:kern w:val="2"/>
                <w:sz w:val="24"/>
                <w:szCs w:val="24"/>
              </w:rPr>
            </w:pPr>
            <w:r>
              <w:rPr>
                <w:rFonts w:ascii="宋体" w:hAnsi="宋体" w:cs="宋体"/>
                <w:kern w:val="2"/>
                <w:sz w:val="24"/>
                <w:szCs w:val="24"/>
              </w:rPr>
              <w:t>1.1指导用户正确使用软件功能。</w:t>
            </w:r>
          </w:p>
          <w:p w14:paraId="136638A8">
            <w:pPr>
              <w:pStyle w:val="40"/>
              <w:spacing w:line="360" w:lineRule="auto"/>
              <w:jc w:val="both"/>
              <w:rPr>
                <w:rFonts w:ascii="宋体" w:hAnsi="宋体" w:cs="宋体"/>
                <w:kern w:val="2"/>
                <w:sz w:val="24"/>
                <w:szCs w:val="24"/>
              </w:rPr>
            </w:pPr>
            <w:r>
              <w:rPr>
                <w:rFonts w:ascii="宋体" w:hAnsi="宋体" w:cs="宋体"/>
                <w:kern w:val="2"/>
                <w:sz w:val="24"/>
                <w:szCs w:val="24"/>
              </w:rPr>
              <w:t>1</w:t>
            </w:r>
            <w:r>
              <w:rPr>
                <w:rFonts w:hint="default" w:ascii="宋体" w:hAnsi="宋体" w:cs="宋体"/>
                <w:kern w:val="2"/>
                <w:sz w:val="24"/>
                <w:szCs w:val="24"/>
              </w:rPr>
              <w:t>.</w:t>
            </w:r>
            <w:r>
              <w:rPr>
                <w:rFonts w:ascii="宋体" w:hAnsi="宋体" w:cs="宋体"/>
                <w:kern w:val="2"/>
                <w:sz w:val="24"/>
                <w:szCs w:val="24"/>
              </w:rPr>
              <w:t>2供软件功能的应用咨询</w:t>
            </w:r>
            <w:bookmarkStart w:id="3" w:name="_GoBack"/>
            <w:bookmarkEnd w:id="3"/>
            <w:r>
              <w:rPr>
                <w:rFonts w:ascii="宋体" w:hAnsi="宋体" w:cs="宋体"/>
                <w:kern w:val="2"/>
                <w:sz w:val="24"/>
                <w:szCs w:val="24"/>
              </w:rPr>
              <w:t>，包括功能使用、功能配置、功能设置等。</w:t>
            </w:r>
          </w:p>
          <w:p w14:paraId="729825A9">
            <w:pPr>
              <w:pStyle w:val="40"/>
              <w:spacing w:line="360" w:lineRule="auto"/>
              <w:jc w:val="both"/>
              <w:rPr>
                <w:rFonts w:ascii="宋体" w:hAnsi="宋体" w:cs="宋体"/>
                <w:kern w:val="2"/>
                <w:sz w:val="24"/>
                <w:szCs w:val="24"/>
              </w:rPr>
            </w:pPr>
            <w:r>
              <w:rPr>
                <w:rFonts w:ascii="宋体" w:hAnsi="宋体" w:cs="宋体"/>
                <w:kern w:val="2"/>
                <w:sz w:val="24"/>
                <w:szCs w:val="24"/>
              </w:rPr>
              <w:t>1</w:t>
            </w:r>
            <w:r>
              <w:rPr>
                <w:rFonts w:hint="default" w:ascii="宋体" w:hAnsi="宋体" w:cs="宋体"/>
                <w:kern w:val="2"/>
                <w:sz w:val="24"/>
                <w:szCs w:val="24"/>
              </w:rPr>
              <w:t>.3</w:t>
            </w:r>
            <w:r>
              <w:rPr>
                <w:rFonts w:ascii="宋体" w:hAnsi="宋体" w:cs="宋体"/>
                <w:kern w:val="2"/>
                <w:sz w:val="24"/>
                <w:szCs w:val="24"/>
              </w:rPr>
              <w:t>提供已应用模块范围内的维护服务（不包括涉及系统整体结构及模块结构改变的需求）。</w:t>
            </w:r>
          </w:p>
          <w:p w14:paraId="3B1E0511">
            <w:pPr>
              <w:pStyle w:val="40"/>
              <w:spacing w:line="360" w:lineRule="auto"/>
              <w:jc w:val="both"/>
              <w:rPr>
                <w:rFonts w:ascii="宋体" w:hAnsi="宋体" w:cs="宋体"/>
                <w:kern w:val="2"/>
                <w:sz w:val="24"/>
                <w:szCs w:val="24"/>
              </w:rPr>
            </w:pPr>
            <w:r>
              <w:rPr>
                <w:rFonts w:ascii="宋体" w:hAnsi="宋体" w:cs="宋体"/>
                <w:kern w:val="2"/>
                <w:sz w:val="24"/>
                <w:szCs w:val="24"/>
              </w:rPr>
              <w:t>1</w:t>
            </w:r>
            <w:r>
              <w:rPr>
                <w:rFonts w:hint="default" w:ascii="宋体" w:hAnsi="宋体" w:cs="宋体"/>
                <w:kern w:val="2"/>
                <w:sz w:val="24"/>
                <w:szCs w:val="24"/>
              </w:rPr>
              <w:t>.4</w:t>
            </w:r>
            <w:r>
              <w:rPr>
                <w:rFonts w:ascii="宋体" w:hAnsi="宋体" w:cs="宋体"/>
                <w:kern w:val="2"/>
                <w:sz w:val="24"/>
                <w:szCs w:val="24"/>
              </w:rPr>
              <w:t>协助查找、排除软件应用过程中出现功能错误及模块的故障，保证系统功能正常运行。</w:t>
            </w:r>
          </w:p>
          <w:p w14:paraId="55299BE2">
            <w:pPr>
              <w:pStyle w:val="40"/>
              <w:spacing w:line="360" w:lineRule="auto"/>
              <w:jc w:val="both"/>
              <w:rPr>
                <w:rFonts w:ascii="宋体" w:hAnsi="宋体" w:cs="宋体"/>
                <w:kern w:val="2"/>
                <w:sz w:val="24"/>
                <w:szCs w:val="24"/>
              </w:rPr>
            </w:pPr>
            <w:r>
              <w:rPr>
                <w:rFonts w:ascii="宋体" w:hAnsi="宋体" w:cs="宋体"/>
                <w:kern w:val="2"/>
                <w:sz w:val="24"/>
                <w:szCs w:val="24"/>
              </w:rPr>
              <w:t>1</w:t>
            </w:r>
            <w:r>
              <w:rPr>
                <w:rFonts w:hint="default" w:ascii="宋体" w:hAnsi="宋体" w:cs="宋体"/>
                <w:kern w:val="2"/>
                <w:sz w:val="24"/>
                <w:szCs w:val="24"/>
              </w:rPr>
              <w:t>.5</w:t>
            </w:r>
            <w:r>
              <w:rPr>
                <w:rFonts w:ascii="宋体" w:hAnsi="宋体" w:cs="宋体"/>
                <w:kern w:val="2"/>
                <w:sz w:val="24"/>
                <w:szCs w:val="24"/>
              </w:rPr>
              <w:t>专业售后工程师，解答软件数据库疑难问题。</w:t>
            </w:r>
          </w:p>
          <w:p w14:paraId="1012DFC9">
            <w:pPr>
              <w:pStyle w:val="40"/>
              <w:spacing w:line="360" w:lineRule="auto"/>
              <w:jc w:val="both"/>
              <w:rPr>
                <w:rFonts w:ascii="宋体" w:hAnsi="宋体" w:cs="宋体"/>
                <w:kern w:val="2"/>
                <w:sz w:val="24"/>
                <w:szCs w:val="24"/>
              </w:rPr>
            </w:pPr>
            <w:r>
              <w:rPr>
                <w:rFonts w:ascii="宋体" w:hAnsi="宋体" w:cs="宋体"/>
                <w:kern w:val="2"/>
                <w:sz w:val="24"/>
                <w:szCs w:val="24"/>
              </w:rPr>
              <w:t>1</w:t>
            </w:r>
            <w:r>
              <w:rPr>
                <w:rFonts w:hint="default" w:ascii="宋体" w:hAnsi="宋体" w:cs="宋体"/>
                <w:kern w:val="2"/>
                <w:sz w:val="24"/>
                <w:szCs w:val="24"/>
              </w:rPr>
              <w:t>.6</w:t>
            </w:r>
            <w:r>
              <w:rPr>
                <w:rFonts w:ascii="宋体" w:hAnsi="宋体" w:cs="宋体"/>
                <w:kern w:val="2"/>
                <w:sz w:val="24"/>
                <w:szCs w:val="24"/>
              </w:rPr>
              <w:t>提供与软件系统相关的咨询服务及建立系统维护制度。</w:t>
            </w:r>
          </w:p>
          <w:p w14:paraId="4A090DAA">
            <w:pPr>
              <w:pStyle w:val="40"/>
              <w:spacing w:line="360" w:lineRule="auto"/>
              <w:jc w:val="both"/>
              <w:rPr>
                <w:rFonts w:ascii="宋体" w:hAnsi="宋体" w:cs="宋体"/>
                <w:kern w:val="2"/>
                <w:sz w:val="24"/>
                <w:szCs w:val="24"/>
              </w:rPr>
            </w:pPr>
            <w:r>
              <w:rPr>
                <w:rFonts w:ascii="宋体" w:hAnsi="宋体" w:cs="宋体"/>
                <w:kern w:val="2"/>
                <w:sz w:val="24"/>
                <w:szCs w:val="24"/>
              </w:rPr>
              <w:t>1.7迎合人工智能使用趋势，后续无条件接入相关功能，优化临床药师工作和临床药学服务。</w:t>
            </w:r>
          </w:p>
          <w:p w14:paraId="292D5052">
            <w:pPr>
              <w:pStyle w:val="32"/>
              <w:spacing w:line="380" w:lineRule="exact"/>
              <w:ind w:left="0"/>
              <w:rPr>
                <w:rFonts w:hint="eastAsia" w:ascii="宋体" w:hAnsi="宋体" w:eastAsia="宋体" w:cs="宋体"/>
                <w:szCs w:val="21"/>
              </w:rPr>
            </w:pPr>
            <w:r>
              <w:rPr>
                <w:rFonts w:hint="eastAsia" w:ascii="宋体" w:hAnsi="宋体" w:eastAsia="宋体" w:cs="宋体"/>
                <w:szCs w:val="21"/>
              </w:rPr>
              <w:t>功能概述</w:t>
            </w:r>
          </w:p>
          <w:p w14:paraId="787D2010">
            <w:pPr>
              <w:pStyle w:val="40"/>
              <w:spacing w:line="360" w:lineRule="auto"/>
              <w:jc w:val="both"/>
              <w:rPr>
                <w:rFonts w:hint="eastAsia" w:ascii="宋体" w:hAnsi="宋体" w:cs="宋体"/>
                <w:kern w:val="2"/>
                <w:sz w:val="24"/>
                <w:szCs w:val="24"/>
              </w:rPr>
            </w:pPr>
          </w:p>
        </w:tc>
      </w:tr>
    </w:tbl>
    <w:p w14:paraId="06720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A9B"/>
    <w:multiLevelType w:val="multilevel"/>
    <w:tmpl w:val="044A2A9B"/>
    <w:lvl w:ilvl="0" w:tentative="0">
      <w:start w:val="1"/>
      <w:numFmt w:val="decimal"/>
      <w:lvlText w:val="7.%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lvlText w:val="1.%2"/>
      <w:lvlJc w:val="left"/>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57F625E"/>
    <w:multiLevelType w:val="multilevel"/>
    <w:tmpl w:val="157F625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81748D"/>
    <w:multiLevelType w:val="multilevel"/>
    <w:tmpl w:val="1781748D"/>
    <w:lvl w:ilvl="0" w:tentative="0">
      <w:start w:val="1"/>
      <w:numFmt w:val="decimal"/>
      <w:lvlText w:val="6.%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AF10EB"/>
    <w:multiLevelType w:val="multilevel"/>
    <w:tmpl w:val="27AF10EB"/>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FB72B2"/>
    <w:multiLevelType w:val="multilevel"/>
    <w:tmpl w:val="32FB72B2"/>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06B61"/>
    <w:multiLevelType w:val="multilevel"/>
    <w:tmpl w:val="3A906B61"/>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306C11"/>
    <w:multiLevelType w:val="multilevel"/>
    <w:tmpl w:val="42306C11"/>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684F7082"/>
    <w:multiLevelType w:val="multilevel"/>
    <w:tmpl w:val="684F7082"/>
    <w:lvl w:ilvl="0" w:tentative="0">
      <w:start w:val="1"/>
      <w:numFmt w:val="decimal"/>
      <w:lvlText w:val="%1."/>
      <w:lvlJc w:val="left"/>
      <w:pPr>
        <w:ind w:left="840" w:hanging="420"/>
      </w:pPr>
      <w:rPr>
        <w:rFonts w:hint="eastAsia"/>
      </w:rPr>
    </w:lvl>
    <w:lvl w:ilvl="1" w:tentative="0">
      <w:start w:val="0"/>
      <w:numFmt w:val="bullet"/>
      <w:lvlText w:val="▲"/>
      <w:lvlJc w:val="left"/>
      <w:pPr>
        <w:ind w:left="349" w:hanging="360"/>
      </w:pPr>
      <w:rPr>
        <w:rFonts w:hint="eastAsia" w:ascii="宋体" w:hAnsi="宋体" w:eastAsia="宋体" w:cs="Arial"/>
      </w:rPr>
    </w:lvl>
    <w:lvl w:ilvl="2" w:tentative="0">
      <w:start w:val="1"/>
      <w:numFmt w:val="lowerRoman"/>
      <w:lvlText w:val="%3."/>
      <w:lvlJc w:val="right"/>
      <w:pPr>
        <w:ind w:left="829" w:hanging="420"/>
      </w:pPr>
    </w:lvl>
    <w:lvl w:ilvl="3" w:tentative="0">
      <w:start w:val="1"/>
      <w:numFmt w:val="decimal"/>
      <w:lvlText w:val="%4."/>
      <w:lvlJc w:val="left"/>
      <w:pPr>
        <w:ind w:left="1249" w:hanging="420"/>
      </w:pPr>
    </w:lvl>
    <w:lvl w:ilvl="4" w:tentative="0">
      <w:start w:val="1"/>
      <w:numFmt w:val="lowerLetter"/>
      <w:lvlText w:val="%5)"/>
      <w:lvlJc w:val="left"/>
      <w:pPr>
        <w:ind w:left="1669" w:hanging="420"/>
      </w:pPr>
    </w:lvl>
    <w:lvl w:ilvl="5" w:tentative="0">
      <w:start w:val="1"/>
      <w:numFmt w:val="lowerRoman"/>
      <w:lvlText w:val="%6."/>
      <w:lvlJc w:val="right"/>
      <w:pPr>
        <w:ind w:left="2089" w:hanging="420"/>
      </w:pPr>
    </w:lvl>
    <w:lvl w:ilvl="6" w:tentative="0">
      <w:start w:val="1"/>
      <w:numFmt w:val="decimal"/>
      <w:lvlText w:val="%7."/>
      <w:lvlJc w:val="left"/>
      <w:pPr>
        <w:ind w:left="2509" w:hanging="420"/>
      </w:pPr>
    </w:lvl>
    <w:lvl w:ilvl="7" w:tentative="0">
      <w:start w:val="1"/>
      <w:numFmt w:val="lowerLetter"/>
      <w:lvlText w:val="%8)"/>
      <w:lvlJc w:val="left"/>
      <w:pPr>
        <w:ind w:left="2929" w:hanging="420"/>
      </w:pPr>
    </w:lvl>
    <w:lvl w:ilvl="8" w:tentative="0">
      <w:start w:val="1"/>
      <w:numFmt w:val="lowerRoman"/>
      <w:lvlText w:val="%9."/>
      <w:lvlJc w:val="right"/>
      <w:pPr>
        <w:ind w:left="3349" w:hanging="420"/>
      </w:pPr>
    </w:lvl>
  </w:abstractNum>
  <w:num w:numId="1">
    <w:abstractNumId w:val="1"/>
  </w:num>
  <w:num w:numId="2">
    <w:abstractNumId w:val="5"/>
  </w:num>
  <w:num w:numId="3">
    <w:abstractNumId w:val="3"/>
  </w:num>
  <w:num w:numId="4">
    <w:abstractNumId w:val="2"/>
  </w:num>
  <w:num w:numId="5">
    <w:abstractNumId w:val="8"/>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4D"/>
    <w:rsid w:val="000020AA"/>
    <w:rsid w:val="0008628C"/>
    <w:rsid w:val="000B40D1"/>
    <w:rsid w:val="000D0782"/>
    <w:rsid w:val="0013747D"/>
    <w:rsid w:val="00166865"/>
    <w:rsid w:val="001D4948"/>
    <w:rsid w:val="001F59E4"/>
    <w:rsid w:val="00272583"/>
    <w:rsid w:val="00294314"/>
    <w:rsid w:val="002D65B6"/>
    <w:rsid w:val="002F3418"/>
    <w:rsid w:val="003F7276"/>
    <w:rsid w:val="0040178A"/>
    <w:rsid w:val="00406AA4"/>
    <w:rsid w:val="004251C6"/>
    <w:rsid w:val="00496430"/>
    <w:rsid w:val="004A353D"/>
    <w:rsid w:val="004F097E"/>
    <w:rsid w:val="004F6D53"/>
    <w:rsid w:val="005145F4"/>
    <w:rsid w:val="00562A02"/>
    <w:rsid w:val="00617301"/>
    <w:rsid w:val="00706B11"/>
    <w:rsid w:val="00733ACE"/>
    <w:rsid w:val="00740918"/>
    <w:rsid w:val="0074766B"/>
    <w:rsid w:val="007B3EAD"/>
    <w:rsid w:val="00802B5B"/>
    <w:rsid w:val="008B3231"/>
    <w:rsid w:val="009A31D8"/>
    <w:rsid w:val="00A56F1F"/>
    <w:rsid w:val="00AC7BC5"/>
    <w:rsid w:val="00B657D7"/>
    <w:rsid w:val="00BC624D"/>
    <w:rsid w:val="00BF1704"/>
    <w:rsid w:val="00BF33CB"/>
    <w:rsid w:val="00C256A8"/>
    <w:rsid w:val="00C40DB5"/>
    <w:rsid w:val="00C80C3F"/>
    <w:rsid w:val="00CA1877"/>
    <w:rsid w:val="00CE7FD5"/>
    <w:rsid w:val="00D021E4"/>
    <w:rsid w:val="00D05086"/>
    <w:rsid w:val="00D40B12"/>
    <w:rsid w:val="00D66077"/>
    <w:rsid w:val="00DF56C8"/>
    <w:rsid w:val="00E26CC8"/>
    <w:rsid w:val="00E9045F"/>
    <w:rsid w:val="00ED7926"/>
    <w:rsid w:val="00FE3C7D"/>
    <w:rsid w:val="019C3C0D"/>
    <w:rsid w:val="04A2463D"/>
    <w:rsid w:val="133665C9"/>
    <w:rsid w:val="15997E66"/>
    <w:rsid w:val="1C355A38"/>
    <w:rsid w:val="1FFD2CE5"/>
    <w:rsid w:val="2D104A12"/>
    <w:rsid w:val="34460947"/>
    <w:rsid w:val="36873949"/>
    <w:rsid w:val="3DF82B20"/>
    <w:rsid w:val="4F4C439C"/>
    <w:rsid w:val="586200DD"/>
    <w:rsid w:val="68383289"/>
    <w:rsid w:val="72D86AFD"/>
    <w:rsid w:val="741E79F2"/>
    <w:rsid w:val="7AF9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2"/>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37609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semiHidden/>
    <w:unhideWhenUsed/>
    <w:uiPriority w:val="99"/>
    <w:pPr>
      <w:spacing w:after="12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37609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标题 4 字符"/>
    <w:basedOn w:val="18"/>
    <w:link w:val="5"/>
    <w:qFormat/>
    <w:uiPriority w:val="9"/>
    <w:rPr>
      <w:rFonts w:cstheme="majorBidi"/>
      <w:color w:val="376092" w:themeColor="accent1" w:themeShade="BF"/>
      <w:sz w:val="28"/>
      <w:szCs w:val="28"/>
    </w:rPr>
  </w:style>
  <w:style w:type="character" w:customStyle="1" w:styleId="23">
    <w:name w:val="标题 5 字符"/>
    <w:basedOn w:val="18"/>
    <w:link w:val="6"/>
    <w:semiHidden/>
    <w:qFormat/>
    <w:uiPriority w:val="9"/>
    <w:rPr>
      <w:rFonts w:cstheme="majorBidi"/>
      <w:color w:val="376092" w:themeColor="accent1" w:themeShade="BF"/>
      <w:sz w:val="24"/>
      <w:szCs w:val="24"/>
    </w:rPr>
  </w:style>
  <w:style w:type="character" w:customStyle="1" w:styleId="24">
    <w:name w:val="标题 6 字符"/>
    <w:basedOn w:val="18"/>
    <w:link w:val="7"/>
    <w:semiHidden/>
    <w:qFormat/>
    <w:uiPriority w:val="9"/>
    <w:rPr>
      <w:rFonts w:cstheme="majorBidi"/>
      <w:b/>
      <w:bCs/>
      <w:color w:val="37609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41"/>
    <w:qFormat/>
    <w:uiPriority w:val="34"/>
    <w:pPr>
      <w:ind w:left="720"/>
      <w:contextualSpacing/>
    </w:pPr>
  </w:style>
  <w:style w:type="character" w:customStyle="1" w:styleId="33">
    <w:name w:val="明显强调1"/>
    <w:basedOn w:val="18"/>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8"/>
    <w:link w:val="34"/>
    <w:qFormat/>
    <w:uiPriority w:val="30"/>
    <w:rPr>
      <w:i/>
      <w:iCs/>
      <w:color w:val="376092" w:themeColor="accent1" w:themeShade="BF"/>
    </w:rPr>
  </w:style>
  <w:style w:type="character" w:customStyle="1" w:styleId="36">
    <w:name w:val="明显参考1"/>
    <w:basedOn w:val="18"/>
    <w:qFormat/>
    <w:uiPriority w:val="32"/>
    <w:rPr>
      <w:b/>
      <w:bCs/>
      <w:smallCaps/>
      <w:color w:val="37609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 字符"/>
    <w:basedOn w:val="18"/>
    <w:link w:val="11"/>
    <w:semiHidden/>
    <w:qFormat/>
    <w:uiPriority w:val="99"/>
    <w:rPr>
      <w:szCs w:val="24"/>
    </w:rPr>
  </w:style>
  <w:style w:type="paragraph" w:customStyle="1" w:styleId="40">
    <w:name w:val="null3"/>
    <w:hidden/>
    <w:qFormat/>
    <w:uiPriority w:val="0"/>
    <w:rPr>
      <w:rFonts w:hint="eastAsia" w:asciiTheme="minorHAnsi" w:hAnsiTheme="minorHAnsi" w:eastAsiaTheme="minorEastAsia" w:cstheme="minorBidi"/>
      <w:lang w:val="en-US" w:eastAsia="zh-CN" w:bidi="ar-SA"/>
    </w:rPr>
  </w:style>
  <w:style w:type="character" w:customStyle="1" w:styleId="41">
    <w:name w:val="列表段落 字符"/>
    <w:basedOn w:val="18"/>
    <w:link w:val="32"/>
    <w:qFormat/>
    <w:uiPriority w:val="34"/>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4981</Words>
  <Characters>5061</Characters>
  <Lines>257</Lines>
  <Paragraphs>189</Paragraphs>
  <TotalTime>4</TotalTime>
  <ScaleCrop>false</ScaleCrop>
  <LinksUpToDate>false</LinksUpToDate>
  <CharactersWithSpaces>5109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2025-06-05T07:37:00Z</dcterms:created>
  <dc:creator>朱中啸</dc:creator>
  <cp:lastModifiedBy>冉女侠</cp:lastModifiedBy>
  <dcterms:modified xsi:type="dcterms:W3CDTF">2025-06-05T08:24:00Z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5ADE410941694A4B898E50B27A3BE75B_12</vt:lpwstr>
  </property>
  <property fmtid="{D5CDD505-2E9C-101B-9397-08002B2CF9AE}" pid="4" name="KSOTemplateDocerSaveRecord">
    <vt:lpwstr>eyJoZGlkIjoiZGQxNGE5Nzc5M2U3YzFiMDNlMGYzNDRiMTUzODQxY2UiLCJ1c2VySWQiOiIxNjc0NTMzMjgyIn0=</vt:lpwstr>
  </property>
</Properties>
</file>