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输血科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="仿宋_GB2312"/>
                <w:vertAlign w:val="baseline"/>
                <w:lang w:val="en-US" w:eastAsia="zh-CN"/>
              </w:rPr>
              <w:t>血液成分分离机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36A4C8E4">
            <w:pPr>
              <w:widowControl w:val="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nb-N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1、全血流速：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10-120ml/min（保证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安全用于低体重儿童），体外循环量不超过180 ml；离心机转数 ：≤2200rpm，转数误差：±1%；工作方式：单针、双针全血连续流动式分离模式</w:t>
            </w:r>
          </w:p>
          <w:p w14:paraId="673ECA3C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2、五泵系统，设有独立抗凝剂泵，全自动计算并控制抗凝剂剂量，抗凝剂全血比例调节范围1:6～1:25</w:t>
            </w:r>
          </w:p>
          <w:p w14:paraId="6BC96289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3、自动保持静脉开放功能：全自动维持入路和回路静脉开放（KVO），无须手动调节</w:t>
            </w:r>
          </w:p>
          <w:p w14:paraId="1BCA1F83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4、治疗性血浆置换：机器自动计算去除血浆量及置换量，置换液体平衡：范围50%—150%，可选择置换液类型，进而自动调整抗凝剂用量；血浆置换过程中，血小板损失量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3%，血浆置换效率: 80%-87%，平均时间55分钟</w:t>
            </w:r>
          </w:p>
          <w:p w14:paraId="42FC0617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5、血浆吸附治疗：可作免疫吸附治疗，可作低密度脂蛋白吸附分离去除 </w:t>
            </w: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安全性能：采血压力感受器、回血压力感受器；提供第三方接口压力监测及报警装置（免疫吸附），空气探测器细胞监测器、自动界面探测器，血浆管路溶血监测器，红外精确抗凝剂滴速监测器，同时通过独立的抗凝剂泵精确控制抗凝剂入量，离心室漏液（漏血）监测，离心室温度监测，离体血容量监测，置换液空管监测；整机电池断电时能继续运行15分钟，保证将体外血液安全回输给患者，恢复供电后保留原先参数并继续分离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0FB66634"/>
    <w:rsid w:val="103E1F42"/>
    <w:rsid w:val="13FD7036"/>
    <w:rsid w:val="166C7431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6E904C9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3</TotalTime>
  <ScaleCrop>false</ScaleCrop>
  <LinksUpToDate>false</LinksUpToDate>
  <CharactersWithSpaces>989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2025-02-21T07:42:29Z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</Properties>
</file>