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default" w:eastAsia="仿宋_GB2312"/>
                <w:vertAlign w:val="baseline"/>
                <w:lang w:val="en-US" w:eastAsia="zh-CN"/>
              </w:rPr>
              <w:t>眼底激光治疗仪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7A48AC0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firstLine="560" w:firstLineChars="200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C3DC79C">
            <w:pPr>
              <w:widowControl w:val="0"/>
              <w:spacing w:line="240" w:lineRule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光凝激光：</w:t>
            </w:r>
          </w:p>
          <w:p w14:paraId="17890EC0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类型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倍频二极管泵式固态激光器</w:t>
            </w:r>
          </w:p>
          <w:p w14:paraId="31012B81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波长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532 nm (绿色激光)</w:t>
            </w:r>
          </w:p>
          <w:p w14:paraId="2A1823FD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输出类型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连续波</w:t>
            </w:r>
          </w:p>
          <w:p w14:paraId="0F8063DC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治疗模式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单点模式，脉冲模式</w:t>
            </w:r>
          </w:p>
          <w:p w14:paraId="19565647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输出功率（角膜上）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单点激光 : 50 - 1700 mW</w:t>
            </w:r>
          </w:p>
          <w:p w14:paraId="2858B701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脉冲时间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持续时间0.01 - 3 秒   </w:t>
            </w:r>
          </w:p>
          <w:p w14:paraId="3C6879A1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脉冲周期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间隔时间0.05 - 1.0 秒 </w:t>
            </w:r>
          </w:p>
          <w:p w14:paraId="74FA9E00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光斑尺寸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50um - 1000um连续可调</w:t>
            </w:r>
          </w:p>
          <w:p w14:paraId="7246C13C">
            <w:pPr>
              <w:widowControl w:val="0"/>
              <w:spacing w:line="240" w:lineRule="auto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9激光传输方式：裂隙灯内置式</w:t>
            </w:r>
          </w:p>
          <w:p w14:paraId="054018F7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电动可调节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激光升降桌</w:t>
            </w:r>
          </w:p>
          <w:p w14:paraId="201596EE">
            <w:pPr>
              <w:widowControl w:val="0"/>
              <w:spacing w:line="24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瞄准光：</w:t>
            </w:r>
          </w:p>
          <w:p w14:paraId="1E98112C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类型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二极管激光</w:t>
            </w:r>
          </w:p>
          <w:p w14:paraId="52848F9E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波长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635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-650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nm </w:t>
            </w:r>
          </w:p>
          <w:p w14:paraId="5ECBFF34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输出类型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连续波</w:t>
            </w:r>
          </w:p>
          <w:p w14:paraId="6E8D9B96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输出功率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default" w:ascii="Arial" w:hAnsi="Arial" w:eastAsia="宋体" w:cs="Arial"/>
                <w:sz w:val="28"/>
                <w:szCs w:val="28"/>
                <w:lang w:eastAsia="zh-CN"/>
              </w:rPr>
              <w:t>≤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1.0mW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，</w:t>
            </w:r>
          </w:p>
          <w:p w14:paraId="037A3585">
            <w:pPr>
              <w:widowControl w:val="0"/>
              <w:spacing w:line="24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电力要求：</w:t>
            </w:r>
          </w:p>
          <w:p w14:paraId="52F5BC68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电压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单相AC 200 - 240 V </w:t>
            </w:r>
          </w:p>
          <w:p w14:paraId="5450ED41">
            <w:pPr>
              <w:widowControl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频率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50/60 Hz </w:t>
            </w:r>
          </w:p>
          <w:p w14:paraId="70114469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2F2BE1A6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78191E29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1DD2EA62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 w14:paraId="01749CD7">
            <w:pPr>
              <w:pStyle w:val="8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1D466C2"/>
    <w:rsid w:val="176B4BCE"/>
    <w:rsid w:val="184C3F44"/>
    <w:rsid w:val="29464156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65E37FAB"/>
    <w:rsid w:val="68583E1D"/>
    <w:rsid w:val="6FD24A19"/>
    <w:rsid w:val="74736F2F"/>
    <w:rsid w:val="759D7DC1"/>
    <w:rsid w:val="7810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0</TotalTime>
  <ScaleCrop>false</ScaleCrop>
  <LinksUpToDate>false</LinksUpToDate>
  <CharactersWithSpaces>109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dcterms:modified xsi:type="dcterms:W3CDTF">2025-02-21T09:16:52Z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A45B955A7C4D416BB3E83456EB86497F_13</vt:lpwstr>
  </property>
  <property fmtid="{D5CDD505-2E9C-101B-9397-08002B2CF9AE}" pid="4" name="KSOTemplateDocerSaveRecord">
    <vt:lpwstr>eyJoZGlkIjoiMzc3NGU2YmFiMzBjMmI3NGQwMjNlOTA2OThiNTliNDAifQ==</vt:lpwstr>
  </property>
</Properties>
</file>