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燃气报警器及管道系统维保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服务需求</w:t>
      </w:r>
    </w:p>
    <w:p>
      <w:pPr>
        <w:ind w:left="440" w:leftChars="200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为确保医院燃气管道系统安全、平稳的运行，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特申请采购燃气报警器及管道系统维保服务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一、燃气报警器及管道维保项目施工及验收规范和依据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《城镇燃气设计规范》GB50028—2006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业金属管道工程施工及验收规范》GB50235—97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《城镇燃气输配工程施工及验收规范》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GBJ33—2005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《钢制对焊无缝管件》GB12459—90（或SYJ408—90）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《输送流体用无缝钢管》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GB8163—87（或YB231—70）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《现场设备、工业管道焊接施工及验收规范》GB50236—2011</w:t>
      </w:r>
    </w:p>
    <w:p>
      <w:pPr>
        <w:keepNext w:val="0"/>
        <w:keepLines w:val="0"/>
        <w:pageBreakBefore w:val="0"/>
        <w:tabs>
          <w:tab w:val="left" w:pos="132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《城镇燃气报警控制系统技术规程》CJJ/T146—2011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供应商资质要求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（一）需具备压力管道GB1安装资质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（二）需具备消防设施工程专业承包资质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left="440" w:left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三、维保项目</w:t>
      </w:r>
    </w:p>
    <w:tbl>
      <w:tblPr>
        <w:tblStyle w:val="6"/>
        <w:tblW w:w="94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59"/>
        <w:gridCol w:w="1476"/>
        <w:gridCol w:w="1358"/>
        <w:gridCol w:w="2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序号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材料名称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单位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数量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频次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1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可燃气体探测器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个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2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报警器主机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3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自动切断阀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4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管道及用气点位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项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每月一次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（一）低压燃气管道系统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每月检查各阀门切换、开关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用气点燃气管道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及管道固定装置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燃气管道系统周边安全隐患风险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发现异常，及时处理，确保医院用气安全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对厨房内灶具底下和灶具旁边的燃气管道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全面油漆防腐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安排一次对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院方用气安全管理、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操作人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进行燃气安全知识培训。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（二）调压系统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每月应检查各连接点及调压器工作情况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及时清除调压器各部位油污、锈斑，重新启用调压器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，应检查进出口压力及有关参数，确保用气设备正常运行。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每月检查指示仪表是否正常，每季度检查超压切断阀门能否在设定起跳压力内起跳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发现异常，及时处理，确保医院用气安全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（三）报警器系统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每月对燃气报警探测器进行外观及线路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紧急自动切断阀系统各连接点（法兰连接处、复位杆与阀主体吻合处是否严密、皮膜密封性能、螺丝是否稳固）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测试燃气报警探测器，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确保报警探测器出于完好备用状态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维保单位指派的维修人员必须具有提供服务的资格和能力。维保单位提供的专业技术人员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需自带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工具和仪器，按照双方约定的维护保养标准开展工作，认真填写各种报告，通过维修或维护保养，使燃气设备处于良好的运行状态。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维保单位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做完维护后需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向院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</w:rPr>
        <w:t>方提供一份检测资质报告存档备案。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72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20"/>
          <w:sz w:val="32"/>
          <w:szCs w:val="32"/>
          <w:lang w:val="en-US" w:eastAsia="zh-CN"/>
        </w:rPr>
        <w:t>（三）如发生燃气泄漏，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抢修人员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应在接到通知后第一时间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到达现场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按照规范流程进行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抢修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和恢复燃气供应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六、服务期限两年，到期考核合格后签订下一年合同。</w:t>
      </w:r>
      <w:bookmarkStart w:id="0" w:name="_GoBack"/>
      <w:bookmarkEnd w:id="0"/>
    </w:p>
    <w:sectPr>
      <w:pgSz w:w="11850" w:h="16783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oNotHyphenateCaps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Mzg1YmEwYjZiZWNjYzhiOWU3OGZjZGQwZTBlMTYifQ=="/>
  </w:docVars>
  <w:rsids>
    <w:rsidRoot w:val="00251FC4"/>
    <w:rsid w:val="00006F24"/>
    <w:rsid w:val="0014357D"/>
    <w:rsid w:val="00251FC4"/>
    <w:rsid w:val="00336ACF"/>
    <w:rsid w:val="0043453F"/>
    <w:rsid w:val="00AE2995"/>
    <w:rsid w:val="00B93026"/>
    <w:rsid w:val="00D00CA7"/>
    <w:rsid w:val="00D62765"/>
    <w:rsid w:val="00DC7835"/>
    <w:rsid w:val="00F7123A"/>
    <w:rsid w:val="00F87B68"/>
    <w:rsid w:val="04D360CA"/>
    <w:rsid w:val="08AF42EB"/>
    <w:rsid w:val="09AB6036"/>
    <w:rsid w:val="162E1726"/>
    <w:rsid w:val="192A798A"/>
    <w:rsid w:val="1B00250F"/>
    <w:rsid w:val="22C1131E"/>
    <w:rsid w:val="268A6375"/>
    <w:rsid w:val="2CA036AE"/>
    <w:rsid w:val="2FAB3861"/>
    <w:rsid w:val="421554D9"/>
    <w:rsid w:val="4B9E2F41"/>
    <w:rsid w:val="592B4D42"/>
    <w:rsid w:val="60191468"/>
    <w:rsid w:val="66842532"/>
    <w:rsid w:val="73AA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120"/>
      <w:outlineLvl w:val="0"/>
    </w:pPr>
    <w:rPr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ind w:left="120"/>
    </w:pPr>
    <w:rPr>
      <w:sz w:val="42"/>
      <w:szCs w:val="4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9">
    <w:name w:val="正文文本 字符"/>
    <w:basedOn w:val="7"/>
    <w:link w:val="3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10">
    <w:name w:val="Table Normal1"/>
    <w:semiHidden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left="120"/>
    </w:pPr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页眉 字符"/>
    <w:basedOn w:val="7"/>
    <w:link w:val="5"/>
    <w:qFormat/>
    <w:uiPriority w:val="99"/>
    <w:rPr>
      <w:rFonts w:ascii="宋体" w:hAnsi="宋体" w:cs="宋体"/>
      <w:sz w:val="18"/>
      <w:szCs w:val="18"/>
      <w:lang w:val="zh-CN"/>
    </w:rPr>
  </w:style>
  <w:style w:type="character" w:customStyle="1" w:styleId="14">
    <w:name w:val="页脚 字符"/>
    <w:basedOn w:val="7"/>
    <w:link w:val="4"/>
    <w:qFormat/>
    <w:uiPriority w:val="99"/>
    <w:rPr>
      <w:rFonts w:ascii="宋体" w:hAnsi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3</Pages>
  <Words>354</Words>
  <Characters>2021</Characters>
  <Lines>16</Lines>
  <Paragraphs>4</Paragraphs>
  <TotalTime>22</TotalTime>
  <ScaleCrop>false</ScaleCrop>
  <LinksUpToDate>false</LinksUpToDate>
  <CharactersWithSpaces>2371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2024-05-22T14:06:00Z</dcterms:created>
  <dc:creator>bingdian001.com</dc:creator>
  <cp:keywords>bingdian001.com</cp:keywords>
  <cp:lastModifiedBy>Administrator</cp:lastModifiedBy>
  <cp:lastPrinted>2020-12-02T01:11:00Z</cp:lastPrinted>
  <dcterms:modified xsi:type="dcterms:W3CDTF">2024-07-08T07:28:39Z</dcterms:modified>
  <dc:subject>bingdian001.com</dc:subject>
  <dc:title>bingdian001.com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bingdian001.com</vt:lpwstr>
  </property>
  <property fmtid="{D5CDD505-2E9C-101B-9397-08002B2CF9AE}" pid="3" name="KSOProductBuildVer">
    <vt:lpwstr>2052-11.8.2.11813</vt:lpwstr>
  </property>
  <property fmtid="{D5CDD505-2E9C-101B-9397-08002B2CF9AE}" pid="4" name="ICV">
    <vt:lpwstr>8B31E5F24EA541C495081FF167D96BA4</vt:lpwstr>
  </property>
</Properties>
</file>