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病案收集整理服务的需求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为进一步加强病案管理，决定采购第三方公司服务负责病案回收整理工作，主要承担病案回收、整理以及回收数据统计工作。</w:t>
      </w:r>
    </w:p>
    <w:tbl>
      <w:tblPr>
        <w:tblStyle w:val="3"/>
        <w:tblW w:w="44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22"/>
        <w:gridCol w:w="1688"/>
        <w:gridCol w:w="2145"/>
        <w:gridCol w:w="1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0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收集人员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不超过1.4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每份</w:t>
            </w: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提供专用箱每天实时去各个临床收集病案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签收系统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提供签收系统实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可以查询签收数据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1.派遣1名病案收集人员进行服务；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2.每天实时去甲方各个临床科室收集病案；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3.提供病案签收系统服务。</w:t>
      </w: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4.一年回收病历数大概34000份。</w:t>
      </w:r>
    </w:p>
    <w:p>
      <w:pPr>
        <w:pStyle w:val="2"/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服务期：自2024年6月1日起至2025年5月31日止。验收：服务每满3个月后的10个工作日内进行验收，填写验收单，确认符合规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32"/>
          <w:szCs w:val="32"/>
          <w:lang w:val="en-US" w:eastAsia="zh-CN" w:bidi="ar-SA"/>
        </w:rPr>
        <w:t>定的病案收集整理份数。每3个月按实支付款项。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TUxZWEwZjNjZTg5ZmQ3MDI2MDIwMDY0ZGVmZmNhMGQifQ=="/>
  </w:docVars>
  <w:rsids>
    <w:rsidRoot w:val="00000000"/>
    <w:rsid w:val="14401B64"/>
    <w:rsid w:val="15833B16"/>
    <w:rsid w:val="16FB0BA1"/>
    <w:rsid w:val="1E4305F6"/>
    <w:rsid w:val="287845F5"/>
    <w:rsid w:val="3113142E"/>
    <w:rsid w:val="67495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after="60" w:line="440" w:lineRule="exact"/>
      <w:ind w:right="-8" w:rightChars="-4" w:firstLine="490" w:firstLineChars="204"/>
    </w:pPr>
    <w:rPr>
      <w:bCs/>
      <w:color w:val="000000"/>
      <w:sz w:val="24"/>
      <w:szCs w:val="20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187</Characters>
  <Lines>0</Lines>
  <Paragraphs>0</Paragraphs>
  <TotalTime>2</TotalTime>
  <ScaleCrop>false</ScaleCrop>
  <LinksUpToDate>false</LinksUpToDate>
  <CharactersWithSpaces>201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2023-04-13T08:22:00Z</dcterms:created>
  <dc:creator>小米</dc:creator>
  <cp:lastModifiedBy>Administrator</cp:lastModifiedBy>
  <dcterms:modified xsi:type="dcterms:W3CDTF">2024-06-05T08:31:13Z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D7162D5ACE18458CBF34093FB471F27E</vt:lpwstr>
  </property>
</Properties>
</file>