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1.机柜：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具备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防撞缓冲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设计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2.制冷：压缩机制冷量≥2000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W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环境温度23℃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：空载制冷平均速率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环境温度23℃±2℃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每分钟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≥1℃，对应的温度变化区间：25℃～17℃。负载最大平均速率：每小时≥4.4℃。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3. 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采用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静音循环水泵，间隔式蓄水器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容量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≥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10L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4.水路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:采用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防漏水设计，连接可靠，插拔方便，确保无水漏出。与患者体表接触面积超过40% ，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可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分别包裹患者躯干和肢体进行降温。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5.温度控制系统控制界面单键操作，具有参数记忆功能，保证使用相同参数时，通电即用。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6.设定温度与实测温度实时显示。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水温设定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最小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范围：3℃—20℃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水温显示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最大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精度：0.1℃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水温探头测量精度：±1℃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体温设定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最小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范围：30℃—38℃。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体温显示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最大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精度：0.1℃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体温探头测量精度：±0.5℃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7.控制模式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（包含但不限于）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：手动模式，自动模式，体温监控模式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.配件要求：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内径水路与随机水流模式，确保快速水环和高效热交换。材质具有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良好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的耐低温及耐臭氧性能，使用寿命长，便于清洗。</w:t>
      </w:r>
    </w:p>
    <w:p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9.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需具备的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安全报警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功能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：缺水声光报警并停止工作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体温传感器监测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报警、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水路阻塞报警。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C1348F6"/>
    <w:rsid w:val="1D1178B3"/>
    <w:rsid w:val="3FC33CBC"/>
    <w:rsid w:val="476B23FB"/>
    <w:rsid w:val="4DD974F9"/>
    <w:rsid w:val="57DB6B40"/>
    <w:rsid w:val="5C13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598</Characters>
  <Lines>0</Lines>
  <Paragraphs>0</Paragraphs>
  <TotalTime>0</TotalTime>
  <ScaleCrop>false</ScaleCrop>
  <LinksUpToDate>false</LinksUpToDate>
  <CharactersWithSpaces>631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2024-05-22T04:12:00Z</dcterms:created>
  <dc:creator>乔乔哟</dc:creator>
  <cp:lastModifiedBy>米老头[耶]</cp:lastModifiedBy>
  <dcterms:modified xsi:type="dcterms:W3CDTF">2024-06-05T00:24:09Z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ABE9CA658B2D403BBB7186F2E0D7B284_11</vt:lpwstr>
  </property>
</Properties>
</file>