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28"/>
          <w:szCs w:val="28"/>
        </w:rPr>
        <w:t>门急诊及业务大楼中央空调通风系统（含新风）常规检测</w:t>
      </w:r>
      <w:r>
        <w:rPr>
          <w:rFonts w:hint="eastAsia"/>
          <w:sz w:val="28"/>
          <w:szCs w:val="28"/>
          <w:lang w:eastAsia="zh-CN"/>
        </w:rPr>
        <w:t>服务要求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服务地点：</w:t>
      </w:r>
      <w:r>
        <w:rPr>
          <w:rFonts w:hint="eastAsia"/>
          <w:sz w:val="28"/>
          <w:szCs w:val="28"/>
        </w:rPr>
        <w:t>门急诊及业务大楼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2.服务期限：壹年/次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3.服务内容及要求：依照公共场所集中空调通风系统的相关要求，需每年对我院门急诊及业务大楼的通风系统（-1层至12层，共计13层）进行常规检测。</w:t>
      </w:r>
    </w:p>
    <w:p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检测项目应包括：物理因素（环境温度、空气湿度、房间内风力、噪音、排风量）；排风PM10；排风细菌总数；排风细菌数量；风管中表面积灰量；风管中表面细菌总数；风管中表面细菌数量等。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附：中央空调检测检测依据：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GB/T18204.1-2013 《公共场所卫生检测方式 第1一部分：物理因素》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GB/T18204.5-2013 《公共场所卫生检测方式 第5一部分：集中空调通风系统》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WS 394-2012 《公共场所集中空调通风系统环境卫生标准》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JGJ/T 177-2009 《公共建筑节能检测标准》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DB31/405-2012 《公共场所中央空调通风系统运作卫生要求》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81A87"/>
    <w:rsid w:val="33AC21AB"/>
    <w:rsid w:val="57DF55C7"/>
    <w:rsid w:val="65B2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2024-01-18T07:13:00Z</dcterms:created>
  <dc:creator>Administrator</dc:creator>
  <cp:lastModifiedBy>Administrator</cp:lastModifiedBy>
  <dcterms:modified xsi:type="dcterms:W3CDTF">2024-02-18T02:51:34Z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05460A5BBC754AC784BDD41CECC5C00D</vt:lpwstr>
  </property>
</Properties>
</file>