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0" w:firstLineChars="0"/>
        <w:textAlignment w:val="baseline"/>
        <w:rPr>
          <w:rFonts w:hint="eastAsia" w:ascii="仿宋_GB2312" w:hAnsi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需求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参数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尺寸:长</w:t>
      </w:r>
      <w:r>
        <w:rPr>
          <w:rFonts w:hint="eastAsia" w:ascii="宋体" w:hAnsi="宋体" w:eastAsia="宋体" w:cs="宋体"/>
          <w:sz w:val="24"/>
          <w:szCs w:val="24"/>
        </w:rPr>
        <w:t>≦</w:t>
      </w:r>
      <w:r>
        <w:rPr>
          <w:rFonts w:hint="eastAsia" w:ascii="仿宋_GB2312" w:hAnsi="仿宋_GB2312" w:eastAsia="仿宋_GB2312" w:cs="仿宋_GB2312"/>
          <w:sz w:val="24"/>
          <w:szCs w:val="24"/>
        </w:rPr>
        <w:t>100cm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24"/>
          <w:szCs w:val="24"/>
        </w:rPr>
        <w:t>宽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≦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4"/>
          <w:szCs w:val="24"/>
        </w:rPr>
        <w:t>cm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，高度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170cm；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主体材质：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304#</w:t>
      </w:r>
      <w:r>
        <w:rPr>
          <w:rFonts w:hint="eastAsia" w:ascii="仿宋_GB2312" w:hAnsi="仿宋_GB2312" w:eastAsia="仿宋_GB2312" w:cs="仿宋_GB2312"/>
          <w:sz w:val="24"/>
          <w:szCs w:val="24"/>
        </w:rPr>
        <w:t>不锈钢材质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洗手适合位数：</w:t>
      </w:r>
      <w:r>
        <w:rPr>
          <w:rFonts w:hint="eastAsia" w:ascii="仿宋_GB2312" w:hAnsi="仿宋_GB2312" w:eastAsia="仿宋_GB2312" w:cs="仿宋_GB2312"/>
          <w:sz w:val="24"/>
          <w:szCs w:val="24"/>
        </w:rPr>
        <w:t>1人位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出水控制方式：</w:t>
      </w:r>
      <w:r>
        <w:rPr>
          <w:rFonts w:hint="eastAsia" w:ascii="仿宋_GB2312" w:hAnsi="仿宋_GB2312" w:eastAsia="仿宋_GB2312" w:cs="仿宋_GB2312"/>
          <w:sz w:val="24"/>
          <w:szCs w:val="24"/>
        </w:rPr>
        <w:t>脚踏式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机械控制；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配置要求：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配洗手液位置、梳妆镜、灯、进出水管</w:t>
      </w:r>
      <w:r>
        <w:rPr>
          <w:rFonts w:hint="eastAsia" w:ascii="仿宋_GB2312" w:hAnsi="仿宋_GB2312" w:cs="仿宋_GB2312"/>
          <w:sz w:val="24"/>
          <w:szCs w:val="24"/>
          <w:lang w:eastAsia="zh-CN"/>
        </w:rPr>
        <w:t>。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DM5NjljODFmODgxMTQwNzM3NmM0ZThmNTg3NGMifQ=="/>
  </w:docVars>
  <w:rsids>
    <w:rsidRoot w:val="00000000"/>
    <w:rsid w:val="01EA0BE5"/>
    <w:rsid w:val="09DA31EC"/>
    <w:rsid w:val="20590CD0"/>
    <w:rsid w:val="36AD0A48"/>
    <w:rsid w:val="515048FA"/>
    <w:rsid w:val="57DE2405"/>
    <w:rsid w:val="651D6ECB"/>
    <w:rsid w:val="65E37FAB"/>
    <w:rsid w:val="729204C3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cp:lastPrinted>2023-12-18T08:55:00Z</cp:lastPrinted>
  <dcterms:modified xsi:type="dcterms:W3CDTF">2023-12-25T01:21:13Z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