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技术要求</w:t>
      </w:r>
      <w:bookmarkEnd w:id="0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一次性使用高压造影注射器及附件参数要求：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*1、针筒容量：200ml；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</w:rPr>
        <w:t>2、注射器上的鲁尔外圆锥接头的内孔直径应 ≥ 2.2 mm；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*3、密合性要求：在88 KPa负压下保持60s±5s，注射器外套有效工作表面与活塞接触部位不得产生漏气现象；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4、注射器外套应有足够的透明度，能够观察到造影剂中有无气泡。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一次性使用压力连接管参数要求：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*1、连接管长度150cm，最大耐压值不低于1200PSI；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*2、连接管路各连接处应能承受15N的轴向静拉力，持续无断裂时间≥15s；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</w:rPr>
        <w:t>3、锁定式圆锥接头符合GB/T 1962.2-2001。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2023-12-14T10:16:38Z</dcterms:created>
  <dc:creator>iPhone</dc:creator>
  <cp:lastModifiedBy>iPhone</cp:lastModifiedBy>
  <dcterms:modified xsi:type="dcterms:W3CDTF">2023-12-14T10:18:35Z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2052-12.7.0</vt:lpwstr>
  </property>
  <property fmtid="{D5CDD505-2E9C-101B-9397-08002B2CF9AE}" pid="3" name="ICV">
    <vt:lpwstr>1F9B76B5EA2D248A86657A6515A23DE9_31</vt:lpwstr>
  </property>
</Properties>
</file>