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center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</w:rPr>
        <w:t>医保业务</w:t>
      </w:r>
      <w:r>
        <w:rPr>
          <w:rFonts w:hint="eastAsia"/>
          <w:b/>
          <w:sz w:val="28"/>
          <w:lang w:eastAsia="zh-CN"/>
        </w:rPr>
        <w:t>刷脸</w:t>
      </w:r>
      <w:r>
        <w:rPr>
          <w:rFonts w:hint="eastAsia"/>
          <w:b/>
          <w:sz w:val="28"/>
        </w:rPr>
        <w:t>终端规格参数</w:t>
      </w:r>
    </w:p>
    <w:p>
      <w:pPr>
        <w:rPr>
          <w:rFonts w:hint="eastAsia"/>
        </w:rPr>
      </w:pPr>
    </w:p>
    <w:tbl>
      <w:tblPr>
        <w:tblStyle w:val="2"/>
        <w:tblW w:w="9923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主要功能: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支持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医保电子凭证扫码应用、刷脸应用和医保支付、身份识别及核验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部件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技术规格参数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尺寸：8寸竖屏，分辨率：800*1280，电容式触控屏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MTK8788，12nm制成工艺；四核A73+四核A53 主频2.0GHz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存储器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4GB+64GB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Android9.0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WIFI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</w:rPr>
              <w:t>2.4G/5G双频，通过</w:t>
            </w:r>
            <w:r>
              <w:rPr>
                <w:rFonts w:ascii="宋体" w:hAnsi="宋体"/>
                <w:sz w:val="24"/>
                <w:szCs w:val="24"/>
              </w:rPr>
              <w:t>3G/</w:t>
            </w:r>
            <w:r>
              <w:rPr>
                <w:rFonts w:hint="eastAsia" w:ascii="宋体" w:hAnsi="宋体"/>
                <w:sz w:val="24"/>
                <w:szCs w:val="24"/>
              </w:rPr>
              <w:t>4G网络专线或GRE方式接入医保业务区网络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人脸识别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基于 3D 结构光摄像头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具备人脸识别功能并能通过人脸识别确认用户身份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蓝牙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4.2频率范围：2400-2483.5MHz；发射功率：≤20dBm（EIRP）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身份证读取模块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基于身份证识读身份信息，该模块须集成到医保业务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刷脸</w:t>
            </w:r>
            <w:r>
              <w:rPr>
                <w:rFonts w:ascii="宋体" w:hAnsi="宋体"/>
                <w:sz w:val="24"/>
                <w:szCs w:val="24"/>
              </w:rPr>
              <w:t>终端，读取二代身份证</w:t>
            </w:r>
            <w:r>
              <w:rPr>
                <w:rFonts w:hint="eastAsia" w:ascii="宋体" w:hAnsi="宋体"/>
                <w:sz w:val="24"/>
                <w:szCs w:val="24"/>
              </w:rPr>
              <w:t>,身份证模块支持通过定制数据线实现PAD及电脑双向通讯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二维码识读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传感器；支持码制：符合国际、国内通用二维码标准识读精度：一维码≥5mil；二维码≥7.5mil，二维扫描模块支持通过定制数据线实现PAD及电脑双向通讯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加密安全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内置国家密码管理部门核准硬件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密码技术加固</w:t>
            </w:r>
            <w:r>
              <w:rPr>
                <w:rFonts w:hint="eastAsia" w:ascii="宋体" w:hAnsi="宋体"/>
                <w:sz w:val="24"/>
                <w:szCs w:val="24"/>
              </w:rPr>
              <w:t>安全模块，</w:t>
            </w:r>
            <w:r>
              <w:rPr>
                <w:rFonts w:ascii="宋体" w:hAnsi="宋体"/>
                <w:spacing w:val="-3"/>
                <w:sz w:val="24"/>
                <w:szCs w:val="24"/>
              </w:rPr>
              <w:t>终端部件防拆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防盗设计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须具备防盗锁孔设计，保障设备安全性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升降支架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须具备支架升降功能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具备产品认证证书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国家医保局C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HS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认证机构检测《医保业务综合服务终端检测报告证书》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ROHS认证、3C认证、SRRC核准认证、CTA许可证。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C3D"/>
    <w:rsid w:val="005F5736"/>
    <w:rsid w:val="006F1C3D"/>
    <w:rsid w:val="2BF74265"/>
    <w:rsid w:val="4D951F5F"/>
    <w:rsid w:val="729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12</TotalTime>
  <ScaleCrop>false</ScaleCrop>
  <LinksUpToDate>false</LinksUpToDate>
  <CharactersWithSpaces>818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2023-10-27T00:24:00Z</dcterms:created>
  <dc:creator>LEN</dc:creator>
  <cp:lastModifiedBy>窦庭美</cp:lastModifiedBy>
  <dcterms:modified xsi:type="dcterms:W3CDTF">2023-10-30T04:16:22Z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EDEA84A3440D4D59BBFF22A5A1FAC765</vt:lpwstr>
  </property>
</Properties>
</file>