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jc w:val="center"/>
        <w:rPr>
          <w:rFonts w:ascii="方正小标宋简体" w:eastAsia="方正小标宋简体"/>
          <w:sz w:val="44"/>
          <w:szCs w:val="44"/>
        </w:rPr>
      </w:pPr>
      <w:r>
        <w:rPr>
          <w:rFonts w:hint="eastAsia" w:ascii="方正小标宋简体" w:eastAsia="方正小标宋简体"/>
          <w:sz w:val="44"/>
          <w:szCs w:val="44"/>
        </w:rPr>
        <w:t>自贡市第三人民医院</w:t>
      </w:r>
    </w:p>
    <w:p>
      <w:pPr>
        <w:widowControl/>
        <w:spacing w:line="580" w:lineRule="exact"/>
        <w:jc w:val="center"/>
        <w:rPr>
          <w:rFonts w:ascii="方正小标宋简体" w:eastAsia="方正小标宋简体"/>
          <w:sz w:val="44"/>
          <w:szCs w:val="44"/>
        </w:rPr>
      </w:pPr>
      <w:r>
        <w:rPr>
          <w:rFonts w:hint="eastAsia" w:ascii="方正小标宋简体" w:eastAsia="方正小标宋简体"/>
          <w:sz w:val="44"/>
          <w:szCs w:val="44"/>
          <w:lang w:val="en-US" w:eastAsia="zh-CN"/>
        </w:rPr>
        <w:t>2022</w:t>
      </w:r>
      <w:r>
        <w:rPr>
          <w:rFonts w:hint="eastAsia" w:ascii="方正小标宋简体" w:eastAsia="方正小标宋简体"/>
          <w:sz w:val="44"/>
          <w:szCs w:val="44"/>
        </w:rPr>
        <w:t>年度</w:t>
      </w:r>
      <w:r>
        <w:rPr>
          <w:rFonts w:hint="eastAsia" w:ascii="方正小标宋简体" w:eastAsia="方正小标宋简体"/>
          <w:sz w:val="44"/>
          <w:szCs w:val="44"/>
          <w:lang w:val="en-US" w:eastAsia="zh-CN"/>
        </w:rPr>
        <w:t>单位</w:t>
      </w:r>
      <w:r>
        <w:rPr>
          <w:rFonts w:hint="eastAsia" w:ascii="方正小标宋简体" w:eastAsia="方正小标宋简体"/>
          <w:sz w:val="44"/>
          <w:szCs w:val="44"/>
        </w:rPr>
        <w:t>决算编制的说明</w:t>
      </w:r>
    </w:p>
    <w:p>
      <w:pPr>
        <w:widowControl/>
        <w:jc w:val="center"/>
        <w:rPr>
          <w:rFonts w:ascii="仿宋_GB2312"/>
          <w:sz w:val="28"/>
          <w:szCs w:val="28"/>
        </w:rPr>
      </w:pPr>
    </w:p>
    <w:p>
      <w:pPr>
        <w:widowControl/>
        <w:jc w:val="center"/>
        <w:rPr>
          <w:rFonts w:ascii="黑体" w:hAnsi="黑体" w:eastAsia="黑体"/>
          <w:color w:val="000000"/>
          <w:sz w:val="48"/>
          <w:szCs w:val="48"/>
        </w:rPr>
      </w:pPr>
      <w:r>
        <w:rPr>
          <w:rFonts w:hint="eastAsia" w:ascii="黑体" w:hAnsi="黑体" w:eastAsia="黑体"/>
          <w:color w:val="000000"/>
          <w:sz w:val="44"/>
          <w:szCs w:val="44"/>
        </w:rPr>
        <w:t>目</w:t>
      </w:r>
      <w:r>
        <w:rPr>
          <w:rFonts w:hint="eastAsia" w:ascii="黑体" w:hAnsi="黑体" w:eastAsia="黑体"/>
          <w:color w:val="000000"/>
          <w:sz w:val="44"/>
          <w:szCs w:val="44"/>
          <w:lang w:val="en-US" w:eastAsia="zh-CN"/>
        </w:rPr>
        <w:t xml:space="preserve"> </w:t>
      </w:r>
      <w:r>
        <w:rPr>
          <w:rFonts w:hint="eastAsia" w:ascii="黑体" w:hAnsi="黑体" w:eastAsia="黑体"/>
          <w:color w:val="000000"/>
          <w:sz w:val="44"/>
          <w:szCs w:val="44"/>
        </w:rPr>
        <w:t>录</w:t>
      </w:r>
    </w:p>
    <w:p>
      <w:pPr>
        <w:pStyle w:val="9"/>
        <w:spacing w:line="500" w:lineRule="exact"/>
        <w:jc w:val="center"/>
        <w:rPr>
          <w:rFonts w:hint="eastAsia" w:ascii="仿宋_GB2312" w:eastAsia="仿宋_GB2312"/>
          <w:i w:val="0"/>
          <w:color w:val="auto"/>
          <w:sz w:val="32"/>
        </w:rPr>
      </w:pPr>
      <w:r>
        <w:rPr>
          <w:rFonts w:hint="eastAsia" w:ascii="仿宋_GB2312" w:eastAsia="仿宋_GB2312"/>
          <w:i w:val="0"/>
          <w:color w:val="auto"/>
          <w:sz w:val="32"/>
        </w:rPr>
        <w:t>公开时间：202</w:t>
      </w:r>
      <w:r>
        <w:rPr>
          <w:rFonts w:hint="eastAsia" w:ascii="仿宋_GB2312" w:eastAsia="仿宋_GB2312"/>
          <w:i w:val="0"/>
          <w:color w:val="auto"/>
          <w:sz w:val="32"/>
          <w:lang w:val="en-US" w:eastAsia="zh-CN"/>
        </w:rPr>
        <w:t>3</w:t>
      </w:r>
      <w:r>
        <w:rPr>
          <w:rFonts w:hint="eastAsia" w:ascii="仿宋_GB2312" w:eastAsia="仿宋_GB2312"/>
          <w:i w:val="0"/>
          <w:color w:val="auto"/>
          <w:sz w:val="32"/>
        </w:rPr>
        <w:t>年</w:t>
      </w:r>
      <w:r>
        <w:rPr>
          <w:rFonts w:hint="eastAsia" w:ascii="仿宋_GB2312" w:eastAsia="仿宋_GB2312"/>
          <w:i w:val="0"/>
          <w:color w:val="auto"/>
          <w:sz w:val="32"/>
          <w:lang w:val="en-US" w:eastAsia="zh-CN"/>
        </w:rPr>
        <w:t>10</w:t>
      </w:r>
      <w:r>
        <w:rPr>
          <w:rFonts w:hint="eastAsia" w:ascii="仿宋_GB2312" w:eastAsia="仿宋_GB2312"/>
          <w:i w:val="0"/>
          <w:color w:val="auto"/>
          <w:sz w:val="32"/>
        </w:rPr>
        <w:t>月</w:t>
      </w:r>
      <w:r>
        <w:rPr>
          <w:rFonts w:hint="eastAsia" w:ascii="仿宋_GB2312" w:eastAsia="仿宋_GB2312"/>
          <w:i w:val="0"/>
          <w:color w:val="auto"/>
          <w:sz w:val="32"/>
          <w:lang w:val="en-US" w:eastAsia="zh-CN"/>
        </w:rPr>
        <w:t>18</w:t>
      </w:r>
      <w:r>
        <w:rPr>
          <w:rFonts w:hint="eastAsia" w:ascii="仿宋_GB2312" w:eastAsia="仿宋_GB2312"/>
          <w:i w:val="0"/>
          <w:color w:val="auto"/>
          <w:sz w:val="32"/>
        </w:rPr>
        <w:t>日</w:t>
      </w:r>
    </w:p>
    <w:p>
      <w:pPr>
        <w:pStyle w:val="9"/>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TOC \o "1-2" \h \z \u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_Toc1326337954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rPr>
        <w:t xml:space="preserve">第一部分 </w:t>
      </w:r>
      <w:r>
        <w:rPr>
          <w:rFonts w:hint="eastAsia" w:ascii="仿宋_GB2312" w:hAnsi="仿宋_GB2312" w:eastAsia="仿宋_GB2312" w:cs="仿宋_GB2312"/>
          <w:b w:val="0"/>
          <w:bCs w:val="0"/>
          <w:i w:val="0"/>
          <w:iCs w:val="0"/>
          <w:sz w:val="32"/>
          <w:szCs w:val="32"/>
          <w:lang w:val="en-US" w:eastAsia="zh-CN"/>
        </w:rPr>
        <w:t>单位</w:t>
      </w:r>
      <w:r>
        <w:rPr>
          <w:rFonts w:hint="eastAsia" w:ascii="仿宋_GB2312" w:hAnsi="仿宋_GB2312" w:eastAsia="仿宋_GB2312" w:cs="仿宋_GB2312"/>
          <w:b w:val="0"/>
          <w:bCs w:val="0"/>
          <w:i w:val="0"/>
          <w:iCs w:val="0"/>
          <w:sz w:val="32"/>
          <w:szCs w:val="32"/>
        </w:rPr>
        <w:t>概况</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_Toc1326337954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1</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pStyle w:val="11"/>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_Toc562174725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highlight w:val="none"/>
          <w:lang w:eastAsia="zh-CN"/>
        </w:rPr>
        <w:t>一、主要职责</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_Toc562174725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1</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pStyle w:val="11"/>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_Toc12552010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highlight w:val="none"/>
          <w:lang w:val="en-US" w:eastAsia="zh-CN"/>
        </w:rPr>
        <w:t>二、</w:t>
      </w:r>
      <w:r>
        <w:rPr>
          <w:rFonts w:hint="eastAsia" w:ascii="仿宋_GB2312" w:hAnsi="仿宋_GB2312" w:eastAsia="仿宋_GB2312" w:cs="仿宋_GB2312"/>
          <w:b w:val="0"/>
          <w:bCs w:val="0"/>
          <w:sz w:val="32"/>
          <w:szCs w:val="32"/>
          <w:lang w:val="en-US" w:eastAsia="zh-CN"/>
        </w:rPr>
        <w:t>机构设置</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_Toc12552010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1</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pStyle w:val="9"/>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_Toc923390688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rPr>
        <w:t>第二部分 202</w:t>
      </w:r>
      <w:r>
        <w:rPr>
          <w:rFonts w:hint="eastAsia" w:ascii="仿宋_GB2312" w:hAnsi="仿宋_GB2312" w:eastAsia="仿宋_GB2312" w:cs="仿宋_GB2312"/>
          <w:b w:val="0"/>
          <w:bCs w:val="0"/>
          <w:i w:val="0"/>
          <w:iCs w:val="0"/>
          <w:sz w:val="32"/>
          <w:szCs w:val="32"/>
          <w:lang w:val="en-US" w:eastAsia="zh-CN"/>
        </w:rPr>
        <w:t>2</w:t>
      </w:r>
      <w:r>
        <w:rPr>
          <w:rFonts w:hint="eastAsia" w:ascii="仿宋_GB2312" w:hAnsi="仿宋_GB2312" w:eastAsia="仿宋_GB2312" w:cs="仿宋_GB2312"/>
          <w:b w:val="0"/>
          <w:bCs w:val="0"/>
          <w:i w:val="0"/>
          <w:iCs w:val="0"/>
          <w:sz w:val="32"/>
          <w:szCs w:val="32"/>
        </w:rPr>
        <w:t>年度</w:t>
      </w:r>
      <w:r>
        <w:rPr>
          <w:rFonts w:hint="eastAsia" w:ascii="仿宋_GB2312" w:hAnsi="仿宋_GB2312" w:eastAsia="仿宋_GB2312" w:cs="仿宋_GB2312"/>
          <w:b w:val="0"/>
          <w:bCs w:val="0"/>
          <w:i w:val="0"/>
          <w:iCs w:val="0"/>
          <w:sz w:val="32"/>
          <w:szCs w:val="32"/>
          <w:lang w:val="en-US" w:eastAsia="zh-CN"/>
        </w:rPr>
        <w:t>单位</w:t>
      </w:r>
      <w:r>
        <w:rPr>
          <w:rFonts w:hint="eastAsia" w:ascii="仿宋_GB2312" w:hAnsi="仿宋_GB2312" w:eastAsia="仿宋_GB2312" w:cs="仿宋_GB2312"/>
          <w:b w:val="0"/>
          <w:bCs w:val="0"/>
          <w:i w:val="0"/>
          <w:iCs w:val="0"/>
          <w:sz w:val="32"/>
          <w:szCs w:val="32"/>
        </w:rPr>
        <w:t>决算情况说明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3</w:t>
      </w:r>
      <w:r>
        <w:rPr>
          <w:rFonts w:hint="eastAsia" w:ascii="仿宋_GB2312" w:hAnsi="仿宋_GB2312" w:eastAsia="仿宋_GB2312" w:cs="仿宋_GB2312"/>
          <w:b w:val="0"/>
          <w:bCs w:val="0"/>
          <w:i w:val="0"/>
          <w:iCs w:val="0"/>
          <w:caps/>
          <w:sz w:val="32"/>
          <w:szCs w:val="32"/>
        </w:rPr>
        <w:fldChar w:fldCharType="end"/>
      </w:r>
    </w:p>
    <w:p>
      <w:pPr>
        <w:pStyle w:val="11"/>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_Toc783818997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rPr>
        <w:t>一、 收入支出决算总体情况说明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3</w:t>
      </w:r>
      <w:r>
        <w:rPr>
          <w:rFonts w:hint="eastAsia" w:ascii="仿宋_GB2312" w:hAnsi="仿宋_GB2312" w:eastAsia="仿宋_GB2312" w:cs="仿宋_GB2312"/>
          <w:b w:val="0"/>
          <w:bCs w:val="0"/>
          <w:i w:val="0"/>
          <w:iCs w:val="0"/>
          <w:caps/>
          <w:sz w:val="32"/>
          <w:szCs w:val="32"/>
        </w:rPr>
        <w:fldChar w:fldCharType="end"/>
      </w:r>
    </w:p>
    <w:p>
      <w:pPr>
        <w:pStyle w:val="11"/>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_Toc1478334546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rPr>
        <w:t>二、 收入决算情况说明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3</w:t>
      </w:r>
      <w:r>
        <w:rPr>
          <w:rFonts w:hint="eastAsia" w:ascii="仿宋_GB2312" w:hAnsi="仿宋_GB2312" w:eastAsia="仿宋_GB2312" w:cs="仿宋_GB2312"/>
          <w:b w:val="0"/>
          <w:bCs w:val="0"/>
          <w:i w:val="0"/>
          <w:iCs w:val="0"/>
          <w:caps/>
          <w:sz w:val="32"/>
          <w:szCs w:val="32"/>
        </w:rPr>
        <w:fldChar w:fldCharType="end"/>
      </w:r>
    </w:p>
    <w:p>
      <w:pPr>
        <w:pStyle w:val="11"/>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_Toc1225355693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rPr>
        <w:t>三、 支出决算情况说明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4</w:t>
      </w:r>
      <w:r>
        <w:rPr>
          <w:rFonts w:hint="eastAsia" w:ascii="仿宋_GB2312" w:hAnsi="仿宋_GB2312" w:eastAsia="仿宋_GB2312" w:cs="仿宋_GB2312"/>
          <w:b w:val="0"/>
          <w:bCs w:val="0"/>
          <w:i w:val="0"/>
          <w:iCs w:val="0"/>
          <w:caps/>
          <w:sz w:val="32"/>
          <w:szCs w:val="32"/>
        </w:rPr>
        <w:fldChar w:fldCharType="end"/>
      </w:r>
    </w:p>
    <w:p>
      <w:pPr>
        <w:pStyle w:val="11"/>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_Toc843659644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rPr>
        <w:t>四、财政拨款收入支出决算总体情况说明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5</w:t>
      </w:r>
      <w:r>
        <w:rPr>
          <w:rFonts w:hint="eastAsia" w:ascii="仿宋_GB2312" w:hAnsi="仿宋_GB2312" w:eastAsia="仿宋_GB2312" w:cs="仿宋_GB2312"/>
          <w:b w:val="0"/>
          <w:bCs w:val="0"/>
          <w:i w:val="0"/>
          <w:iCs w:val="0"/>
          <w:caps/>
          <w:sz w:val="32"/>
          <w:szCs w:val="32"/>
        </w:rPr>
        <w:fldChar w:fldCharType="end"/>
      </w:r>
    </w:p>
    <w:p>
      <w:pPr>
        <w:pStyle w:val="11"/>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_Toc1473790793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rPr>
        <w:t>五、一般公共预算财政拨款支出决算情况说明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5</w:t>
      </w:r>
      <w:r>
        <w:rPr>
          <w:rFonts w:hint="eastAsia" w:ascii="仿宋_GB2312" w:hAnsi="仿宋_GB2312" w:eastAsia="仿宋_GB2312" w:cs="仿宋_GB2312"/>
          <w:b w:val="0"/>
          <w:bCs w:val="0"/>
          <w:i w:val="0"/>
          <w:iCs w:val="0"/>
          <w:caps/>
          <w:sz w:val="32"/>
          <w:szCs w:val="32"/>
        </w:rPr>
        <w:fldChar w:fldCharType="end"/>
      </w:r>
    </w:p>
    <w:p>
      <w:pPr>
        <w:pStyle w:val="11"/>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_Toc1432889768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rPr>
        <w:t>六、一般公共预算财政拨款基本支出决算情况说明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8</w:t>
      </w:r>
      <w:r>
        <w:rPr>
          <w:rFonts w:hint="eastAsia" w:ascii="仿宋_GB2312" w:hAnsi="仿宋_GB2312" w:eastAsia="仿宋_GB2312" w:cs="仿宋_GB2312"/>
          <w:b w:val="0"/>
          <w:bCs w:val="0"/>
          <w:i w:val="0"/>
          <w:iCs w:val="0"/>
          <w:caps/>
          <w:sz w:val="32"/>
          <w:szCs w:val="32"/>
        </w:rPr>
        <w:fldChar w:fldCharType="end"/>
      </w:r>
    </w:p>
    <w:p>
      <w:pPr>
        <w:pStyle w:val="11"/>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_Toc2022165376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rPr>
        <w:t>七、“三公”经费财政拨款支出决算情况说明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8</w:t>
      </w:r>
      <w:r>
        <w:rPr>
          <w:rFonts w:hint="eastAsia" w:ascii="仿宋_GB2312" w:hAnsi="仿宋_GB2312" w:eastAsia="仿宋_GB2312" w:cs="仿宋_GB2312"/>
          <w:b w:val="0"/>
          <w:bCs w:val="0"/>
          <w:i w:val="0"/>
          <w:iCs w:val="0"/>
          <w:caps/>
          <w:sz w:val="32"/>
          <w:szCs w:val="32"/>
        </w:rPr>
        <w:fldChar w:fldCharType="end"/>
      </w:r>
    </w:p>
    <w:p>
      <w:pPr>
        <w:pStyle w:val="11"/>
        <w:tabs>
          <w:tab w:val="right" w:leader="dot" w:pos="8306"/>
        </w:tabs>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_Toc2074492807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rPr>
        <w:t>八、政府性基金预算支出决算情况说明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1</w:t>
      </w:r>
      <w:r>
        <w:rPr>
          <w:rFonts w:hint="eastAsia" w:ascii="仿宋_GB2312" w:hAnsi="仿宋_GB2312" w:eastAsia="仿宋_GB2312" w:cs="仿宋_GB2312"/>
          <w:b w:val="0"/>
          <w:bCs w:val="0"/>
          <w:i w:val="0"/>
          <w:iCs w:val="0"/>
          <w:caps/>
          <w:sz w:val="32"/>
          <w:szCs w:val="32"/>
        </w:rPr>
        <w:fldChar w:fldCharType="end"/>
      </w:r>
      <w:r>
        <w:rPr>
          <w:rFonts w:hint="eastAsia" w:ascii="仿宋_GB2312" w:hAnsi="仿宋_GB2312" w:eastAsia="仿宋_GB2312" w:cs="仿宋_GB2312"/>
          <w:b w:val="0"/>
          <w:bCs w:val="0"/>
          <w:i w:val="0"/>
          <w:iCs w:val="0"/>
          <w:caps/>
          <w:sz w:val="32"/>
          <w:szCs w:val="32"/>
          <w:lang w:val="en-US" w:eastAsia="zh-CN"/>
        </w:rPr>
        <w:t>0</w:t>
      </w:r>
    </w:p>
    <w:p>
      <w:pPr>
        <w:pStyle w:val="11"/>
        <w:tabs>
          <w:tab w:val="right" w:leader="dot" w:pos="8306"/>
        </w:tabs>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_Toc2031923035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rPr>
        <w:t>九、 国有资本经营预算支出决算情况说明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1</w:t>
      </w:r>
      <w:r>
        <w:rPr>
          <w:rFonts w:hint="eastAsia" w:ascii="仿宋_GB2312" w:hAnsi="仿宋_GB2312" w:eastAsia="仿宋_GB2312" w:cs="仿宋_GB2312"/>
          <w:b w:val="0"/>
          <w:bCs w:val="0"/>
          <w:i w:val="0"/>
          <w:iCs w:val="0"/>
          <w:caps/>
          <w:sz w:val="32"/>
          <w:szCs w:val="32"/>
        </w:rPr>
        <w:fldChar w:fldCharType="end"/>
      </w:r>
      <w:r>
        <w:rPr>
          <w:rFonts w:hint="eastAsia" w:ascii="仿宋_GB2312" w:hAnsi="仿宋_GB2312" w:eastAsia="仿宋_GB2312" w:cs="仿宋_GB2312"/>
          <w:b w:val="0"/>
          <w:bCs w:val="0"/>
          <w:i w:val="0"/>
          <w:iCs w:val="0"/>
          <w:caps/>
          <w:sz w:val="32"/>
          <w:szCs w:val="32"/>
          <w:lang w:val="en-US" w:eastAsia="zh-CN"/>
        </w:rPr>
        <w:t>0</w:t>
      </w:r>
    </w:p>
    <w:p>
      <w:pPr>
        <w:pStyle w:val="11"/>
        <w:tabs>
          <w:tab w:val="right" w:leader="dot" w:pos="8306"/>
        </w:tabs>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_Toc838142277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rPr>
        <w:t>十、其他重要事项的情况说明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1</w:t>
      </w:r>
      <w:r>
        <w:rPr>
          <w:rFonts w:hint="eastAsia" w:ascii="仿宋_GB2312" w:hAnsi="仿宋_GB2312" w:eastAsia="仿宋_GB2312" w:cs="仿宋_GB2312"/>
          <w:b w:val="0"/>
          <w:bCs w:val="0"/>
          <w:i w:val="0"/>
          <w:iCs w:val="0"/>
          <w:caps/>
          <w:sz w:val="32"/>
          <w:szCs w:val="32"/>
        </w:rPr>
        <w:fldChar w:fldCharType="end"/>
      </w:r>
      <w:r>
        <w:rPr>
          <w:rFonts w:hint="eastAsia" w:ascii="仿宋_GB2312" w:hAnsi="仿宋_GB2312" w:eastAsia="仿宋_GB2312" w:cs="仿宋_GB2312"/>
          <w:b w:val="0"/>
          <w:bCs w:val="0"/>
          <w:i w:val="0"/>
          <w:iCs w:val="0"/>
          <w:caps/>
          <w:sz w:val="32"/>
          <w:szCs w:val="32"/>
          <w:lang w:val="en-US" w:eastAsia="zh-CN"/>
        </w:rPr>
        <w:t>0</w:t>
      </w:r>
    </w:p>
    <w:p>
      <w:pPr>
        <w:pStyle w:val="9"/>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_Toc1747476639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rPr>
        <w:t>第三部分 名词解释</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_Toc1747476639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1</w:t>
      </w:r>
      <w:r>
        <w:rPr>
          <w:rFonts w:hint="eastAsia" w:ascii="仿宋_GB2312" w:hAnsi="仿宋_GB2312" w:eastAsia="仿宋_GB2312" w:cs="仿宋_GB2312"/>
          <w:b w:val="0"/>
          <w:bCs w:val="0"/>
          <w:i w:val="0"/>
          <w:iCs w:val="0"/>
          <w:sz w:val="32"/>
          <w:szCs w:val="32"/>
          <w:lang w:val="en-US" w:eastAsia="zh-CN"/>
        </w:rPr>
        <w:t>2</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pStyle w:val="9"/>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_Toc1550805908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rPr>
        <w:t>第四部分 附件</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_Toc1550805908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1</w:t>
      </w:r>
      <w:r>
        <w:rPr>
          <w:rFonts w:hint="eastAsia" w:ascii="仿宋_GB2312" w:hAnsi="仿宋_GB2312" w:eastAsia="仿宋_GB2312" w:cs="仿宋_GB2312"/>
          <w:b w:val="0"/>
          <w:bCs w:val="0"/>
          <w:i w:val="0"/>
          <w:iCs w:val="0"/>
          <w:sz w:val="32"/>
          <w:szCs w:val="32"/>
          <w:lang w:val="en-US" w:eastAsia="zh-CN"/>
        </w:rPr>
        <w:t>5</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pStyle w:val="9"/>
        <w:tabs>
          <w:tab w:val="right" w:leader="dot" w:pos="8306"/>
        </w:tabs>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_Toc978480758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rPr>
        <w:t>第五部分 附表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2</w:t>
      </w:r>
      <w:r>
        <w:rPr>
          <w:rFonts w:hint="eastAsia" w:ascii="仿宋_GB2312" w:hAnsi="仿宋_GB2312" w:eastAsia="仿宋_GB2312" w:cs="仿宋_GB2312"/>
          <w:b w:val="0"/>
          <w:bCs w:val="0"/>
          <w:i w:val="0"/>
          <w:iCs w:val="0"/>
          <w:caps/>
          <w:sz w:val="32"/>
          <w:szCs w:val="32"/>
        </w:rPr>
        <w:fldChar w:fldCharType="end"/>
      </w:r>
      <w:r>
        <w:rPr>
          <w:rFonts w:hint="eastAsia" w:ascii="仿宋_GB2312" w:hAnsi="仿宋_GB2312" w:eastAsia="仿宋_GB2312" w:cs="仿宋_GB2312"/>
          <w:b w:val="0"/>
          <w:bCs w:val="0"/>
          <w:i w:val="0"/>
          <w:iCs w:val="0"/>
          <w:caps/>
          <w:sz w:val="32"/>
          <w:szCs w:val="32"/>
          <w:lang w:val="en-US" w:eastAsia="zh-CN"/>
        </w:rPr>
        <w:t>1</w:t>
      </w:r>
    </w:p>
    <w:p>
      <w:pPr>
        <w:pStyle w:val="11"/>
        <w:tabs>
          <w:tab w:val="right" w:leader="dot" w:pos="8306"/>
        </w:tabs>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_Toc1601096832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highlight w:val="none"/>
        </w:rPr>
        <w:t>一、收入支出决算总表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2</w:t>
      </w:r>
      <w:r>
        <w:rPr>
          <w:rFonts w:hint="eastAsia" w:ascii="仿宋_GB2312" w:hAnsi="仿宋_GB2312" w:eastAsia="仿宋_GB2312" w:cs="仿宋_GB2312"/>
          <w:b w:val="0"/>
          <w:bCs w:val="0"/>
          <w:i w:val="0"/>
          <w:iCs w:val="0"/>
          <w:caps/>
          <w:sz w:val="32"/>
          <w:szCs w:val="32"/>
        </w:rPr>
        <w:fldChar w:fldCharType="end"/>
      </w:r>
      <w:r>
        <w:rPr>
          <w:rFonts w:hint="eastAsia" w:ascii="仿宋_GB2312" w:hAnsi="仿宋_GB2312" w:eastAsia="仿宋_GB2312" w:cs="仿宋_GB2312"/>
          <w:b w:val="0"/>
          <w:bCs w:val="0"/>
          <w:i w:val="0"/>
          <w:iCs w:val="0"/>
          <w:caps/>
          <w:sz w:val="32"/>
          <w:szCs w:val="32"/>
          <w:lang w:val="en-US" w:eastAsia="zh-CN"/>
        </w:rPr>
        <w:t>1</w:t>
      </w:r>
    </w:p>
    <w:p>
      <w:pPr>
        <w:pStyle w:val="11"/>
        <w:tabs>
          <w:tab w:val="right" w:leader="dot" w:pos="8306"/>
        </w:tabs>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_Toc1191378711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highlight w:val="none"/>
        </w:rPr>
        <w:t>二、收入决算表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2</w:t>
      </w:r>
      <w:r>
        <w:rPr>
          <w:rFonts w:hint="eastAsia" w:ascii="仿宋_GB2312" w:hAnsi="仿宋_GB2312" w:eastAsia="仿宋_GB2312" w:cs="仿宋_GB2312"/>
          <w:b w:val="0"/>
          <w:bCs w:val="0"/>
          <w:i w:val="0"/>
          <w:iCs w:val="0"/>
          <w:caps/>
          <w:sz w:val="32"/>
          <w:szCs w:val="32"/>
        </w:rPr>
        <w:fldChar w:fldCharType="end"/>
      </w:r>
      <w:r>
        <w:rPr>
          <w:rFonts w:hint="eastAsia" w:ascii="仿宋_GB2312" w:hAnsi="仿宋_GB2312" w:eastAsia="仿宋_GB2312" w:cs="仿宋_GB2312"/>
          <w:b w:val="0"/>
          <w:bCs w:val="0"/>
          <w:i w:val="0"/>
          <w:iCs w:val="0"/>
          <w:caps/>
          <w:sz w:val="32"/>
          <w:szCs w:val="32"/>
          <w:lang w:val="en-US" w:eastAsia="zh-CN"/>
        </w:rPr>
        <w:t>1</w:t>
      </w:r>
    </w:p>
    <w:p>
      <w:pPr>
        <w:pStyle w:val="11"/>
        <w:tabs>
          <w:tab w:val="right" w:leader="dot" w:pos="8306"/>
        </w:tabs>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_Toc842311713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highlight w:val="none"/>
        </w:rPr>
        <w:t>三、支出决算表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2</w:t>
      </w:r>
      <w:r>
        <w:rPr>
          <w:rFonts w:hint="eastAsia" w:ascii="仿宋_GB2312" w:hAnsi="仿宋_GB2312" w:eastAsia="仿宋_GB2312" w:cs="仿宋_GB2312"/>
          <w:b w:val="0"/>
          <w:bCs w:val="0"/>
          <w:i w:val="0"/>
          <w:iCs w:val="0"/>
          <w:caps/>
          <w:sz w:val="32"/>
          <w:szCs w:val="32"/>
        </w:rPr>
        <w:fldChar w:fldCharType="end"/>
      </w:r>
      <w:r>
        <w:rPr>
          <w:rFonts w:hint="eastAsia" w:ascii="仿宋_GB2312" w:hAnsi="仿宋_GB2312" w:eastAsia="仿宋_GB2312" w:cs="仿宋_GB2312"/>
          <w:b w:val="0"/>
          <w:bCs w:val="0"/>
          <w:i w:val="0"/>
          <w:iCs w:val="0"/>
          <w:caps/>
          <w:sz w:val="32"/>
          <w:szCs w:val="32"/>
          <w:lang w:val="en-US" w:eastAsia="zh-CN"/>
        </w:rPr>
        <w:t>1</w:t>
      </w:r>
    </w:p>
    <w:p>
      <w:pPr>
        <w:pStyle w:val="11"/>
        <w:tabs>
          <w:tab w:val="right" w:leader="dot" w:pos="8306"/>
        </w:tabs>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_Toc1985328976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highlight w:val="none"/>
        </w:rPr>
        <w:t>四、财政拨款收入支出决算总表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2</w:t>
      </w:r>
      <w:r>
        <w:rPr>
          <w:rFonts w:hint="eastAsia" w:ascii="仿宋_GB2312" w:hAnsi="仿宋_GB2312" w:eastAsia="仿宋_GB2312" w:cs="仿宋_GB2312"/>
          <w:b w:val="0"/>
          <w:bCs w:val="0"/>
          <w:i w:val="0"/>
          <w:iCs w:val="0"/>
          <w:caps/>
          <w:sz w:val="32"/>
          <w:szCs w:val="32"/>
        </w:rPr>
        <w:fldChar w:fldCharType="end"/>
      </w:r>
      <w:r>
        <w:rPr>
          <w:rFonts w:hint="eastAsia" w:ascii="仿宋_GB2312" w:hAnsi="仿宋_GB2312" w:eastAsia="仿宋_GB2312" w:cs="仿宋_GB2312"/>
          <w:b w:val="0"/>
          <w:bCs w:val="0"/>
          <w:i w:val="0"/>
          <w:iCs w:val="0"/>
          <w:caps/>
          <w:sz w:val="32"/>
          <w:szCs w:val="32"/>
          <w:lang w:val="en-US" w:eastAsia="zh-CN"/>
        </w:rPr>
        <w:t>1</w:t>
      </w:r>
    </w:p>
    <w:p>
      <w:pPr>
        <w:pStyle w:val="11"/>
        <w:tabs>
          <w:tab w:val="right" w:leader="dot" w:pos="8306"/>
        </w:tabs>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_Toc596078385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highlight w:val="none"/>
        </w:rPr>
        <w:t>五、财政拨款支出决算明细表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2</w:t>
      </w:r>
      <w:r>
        <w:rPr>
          <w:rFonts w:hint="eastAsia" w:ascii="仿宋_GB2312" w:hAnsi="仿宋_GB2312" w:eastAsia="仿宋_GB2312" w:cs="仿宋_GB2312"/>
          <w:b w:val="0"/>
          <w:bCs w:val="0"/>
          <w:i w:val="0"/>
          <w:iCs w:val="0"/>
          <w:caps/>
          <w:sz w:val="32"/>
          <w:szCs w:val="32"/>
        </w:rPr>
        <w:fldChar w:fldCharType="end"/>
      </w:r>
      <w:r>
        <w:rPr>
          <w:rFonts w:hint="eastAsia" w:ascii="仿宋_GB2312" w:hAnsi="仿宋_GB2312" w:eastAsia="仿宋_GB2312" w:cs="仿宋_GB2312"/>
          <w:b w:val="0"/>
          <w:bCs w:val="0"/>
          <w:i w:val="0"/>
          <w:iCs w:val="0"/>
          <w:caps/>
          <w:sz w:val="32"/>
          <w:szCs w:val="32"/>
          <w:lang w:val="en-US" w:eastAsia="zh-CN"/>
        </w:rPr>
        <w:t>1</w:t>
      </w:r>
    </w:p>
    <w:p>
      <w:pPr>
        <w:pStyle w:val="11"/>
        <w:tabs>
          <w:tab w:val="right" w:leader="dot" w:pos="8306"/>
        </w:tabs>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_Toc594853557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highlight w:val="none"/>
        </w:rPr>
        <w:t>六、一般公共预算财政拨款支出决算表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2</w:t>
      </w:r>
      <w:r>
        <w:rPr>
          <w:rFonts w:hint="eastAsia" w:ascii="仿宋_GB2312" w:hAnsi="仿宋_GB2312" w:eastAsia="仿宋_GB2312" w:cs="仿宋_GB2312"/>
          <w:b w:val="0"/>
          <w:bCs w:val="0"/>
          <w:i w:val="0"/>
          <w:iCs w:val="0"/>
          <w:caps/>
          <w:sz w:val="32"/>
          <w:szCs w:val="32"/>
        </w:rPr>
        <w:fldChar w:fldCharType="end"/>
      </w:r>
      <w:r>
        <w:rPr>
          <w:rFonts w:hint="eastAsia" w:ascii="仿宋_GB2312" w:hAnsi="仿宋_GB2312" w:eastAsia="仿宋_GB2312" w:cs="仿宋_GB2312"/>
          <w:b w:val="0"/>
          <w:bCs w:val="0"/>
          <w:i w:val="0"/>
          <w:iCs w:val="0"/>
          <w:caps/>
          <w:sz w:val="32"/>
          <w:szCs w:val="32"/>
          <w:lang w:val="en-US" w:eastAsia="zh-CN"/>
        </w:rPr>
        <w:t>1</w:t>
      </w:r>
    </w:p>
    <w:p>
      <w:pPr>
        <w:pStyle w:val="11"/>
        <w:tabs>
          <w:tab w:val="right" w:leader="dot" w:pos="8306"/>
        </w:tabs>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_Toc977930145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highlight w:val="none"/>
        </w:rPr>
        <w:t>七、一般公共预算财政拨款支出决算明细表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2</w:t>
      </w:r>
      <w:r>
        <w:rPr>
          <w:rFonts w:hint="eastAsia" w:ascii="仿宋_GB2312" w:hAnsi="仿宋_GB2312" w:eastAsia="仿宋_GB2312" w:cs="仿宋_GB2312"/>
          <w:b w:val="0"/>
          <w:bCs w:val="0"/>
          <w:i w:val="0"/>
          <w:iCs w:val="0"/>
          <w:caps/>
          <w:sz w:val="32"/>
          <w:szCs w:val="32"/>
        </w:rPr>
        <w:fldChar w:fldCharType="end"/>
      </w:r>
      <w:r>
        <w:rPr>
          <w:rFonts w:hint="eastAsia" w:ascii="仿宋_GB2312" w:hAnsi="仿宋_GB2312" w:eastAsia="仿宋_GB2312" w:cs="仿宋_GB2312"/>
          <w:b w:val="0"/>
          <w:bCs w:val="0"/>
          <w:i w:val="0"/>
          <w:iCs w:val="0"/>
          <w:caps/>
          <w:sz w:val="32"/>
          <w:szCs w:val="32"/>
          <w:lang w:val="en-US" w:eastAsia="zh-CN"/>
        </w:rPr>
        <w:t>1</w:t>
      </w:r>
    </w:p>
    <w:p>
      <w:pPr>
        <w:pStyle w:val="11"/>
        <w:tabs>
          <w:tab w:val="right" w:leader="dot" w:pos="8306"/>
        </w:tabs>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_Toc2131743400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highlight w:val="none"/>
        </w:rPr>
        <w:t>八、一般公共预算财政拨款基本支出决算表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2</w:t>
      </w:r>
      <w:r>
        <w:rPr>
          <w:rFonts w:hint="eastAsia" w:ascii="仿宋_GB2312" w:hAnsi="仿宋_GB2312" w:eastAsia="仿宋_GB2312" w:cs="仿宋_GB2312"/>
          <w:b w:val="0"/>
          <w:bCs w:val="0"/>
          <w:i w:val="0"/>
          <w:iCs w:val="0"/>
          <w:caps/>
          <w:sz w:val="32"/>
          <w:szCs w:val="32"/>
        </w:rPr>
        <w:fldChar w:fldCharType="end"/>
      </w:r>
      <w:r>
        <w:rPr>
          <w:rFonts w:hint="eastAsia" w:ascii="仿宋_GB2312" w:hAnsi="仿宋_GB2312" w:eastAsia="仿宋_GB2312" w:cs="仿宋_GB2312"/>
          <w:b w:val="0"/>
          <w:bCs w:val="0"/>
          <w:i w:val="0"/>
          <w:iCs w:val="0"/>
          <w:caps/>
          <w:sz w:val="32"/>
          <w:szCs w:val="32"/>
          <w:lang w:val="en-US" w:eastAsia="zh-CN"/>
        </w:rPr>
        <w:t>1</w:t>
      </w:r>
    </w:p>
    <w:p>
      <w:pPr>
        <w:pStyle w:val="11"/>
        <w:tabs>
          <w:tab w:val="right" w:leader="dot" w:pos="8306"/>
        </w:tabs>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_Toc482959152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highlight w:val="none"/>
        </w:rPr>
        <w:t>九、一般公共预算财政拨款项目支出决算表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2</w:t>
      </w:r>
      <w:r>
        <w:rPr>
          <w:rFonts w:hint="eastAsia" w:ascii="仿宋_GB2312" w:hAnsi="仿宋_GB2312" w:eastAsia="仿宋_GB2312" w:cs="仿宋_GB2312"/>
          <w:b w:val="0"/>
          <w:bCs w:val="0"/>
          <w:i w:val="0"/>
          <w:iCs w:val="0"/>
          <w:caps/>
          <w:sz w:val="32"/>
          <w:szCs w:val="32"/>
        </w:rPr>
        <w:fldChar w:fldCharType="end"/>
      </w:r>
      <w:r>
        <w:rPr>
          <w:rFonts w:hint="eastAsia" w:ascii="仿宋_GB2312" w:hAnsi="仿宋_GB2312" w:eastAsia="仿宋_GB2312" w:cs="仿宋_GB2312"/>
          <w:b w:val="0"/>
          <w:bCs w:val="0"/>
          <w:i w:val="0"/>
          <w:iCs w:val="0"/>
          <w:caps/>
          <w:sz w:val="32"/>
          <w:szCs w:val="32"/>
          <w:lang w:val="en-US" w:eastAsia="zh-CN"/>
        </w:rPr>
        <w:t>1</w:t>
      </w:r>
    </w:p>
    <w:p>
      <w:pPr>
        <w:pStyle w:val="11"/>
        <w:tabs>
          <w:tab w:val="right" w:leader="dot" w:pos="8306"/>
        </w:tabs>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_Toc613534576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highlight w:val="none"/>
        </w:rPr>
        <w:t>十、政府性基金预算财政拨款收入支出决算表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2</w:t>
      </w:r>
      <w:r>
        <w:rPr>
          <w:rFonts w:hint="eastAsia" w:ascii="仿宋_GB2312" w:hAnsi="仿宋_GB2312" w:eastAsia="仿宋_GB2312" w:cs="仿宋_GB2312"/>
          <w:b w:val="0"/>
          <w:bCs w:val="0"/>
          <w:i w:val="0"/>
          <w:iCs w:val="0"/>
          <w:caps/>
          <w:sz w:val="32"/>
          <w:szCs w:val="32"/>
        </w:rPr>
        <w:fldChar w:fldCharType="end"/>
      </w:r>
      <w:r>
        <w:rPr>
          <w:rFonts w:hint="eastAsia" w:ascii="仿宋_GB2312" w:hAnsi="仿宋_GB2312" w:eastAsia="仿宋_GB2312" w:cs="仿宋_GB2312"/>
          <w:b w:val="0"/>
          <w:bCs w:val="0"/>
          <w:i w:val="0"/>
          <w:iCs w:val="0"/>
          <w:caps/>
          <w:sz w:val="32"/>
          <w:szCs w:val="32"/>
          <w:lang w:val="en-US" w:eastAsia="zh-CN"/>
        </w:rPr>
        <w:t>1</w:t>
      </w:r>
    </w:p>
    <w:p>
      <w:pPr>
        <w:pStyle w:val="11"/>
        <w:tabs>
          <w:tab w:val="right" w:leader="dot" w:pos="8306"/>
        </w:tabs>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_Toc1146659231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highlight w:val="none"/>
        </w:rPr>
        <w:t>十一、国有资本经营预算</w:t>
      </w:r>
      <w:r>
        <w:rPr>
          <w:rFonts w:hint="eastAsia" w:ascii="仿宋_GB2312" w:hAnsi="仿宋_GB2312" w:eastAsia="仿宋_GB2312" w:cs="仿宋_GB2312"/>
          <w:b w:val="0"/>
          <w:bCs w:val="0"/>
          <w:i w:val="0"/>
          <w:iCs w:val="0"/>
          <w:sz w:val="32"/>
          <w:szCs w:val="32"/>
          <w:highlight w:val="none"/>
          <w:lang w:eastAsia="zh-CN"/>
        </w:rPr>
        <w:t>财政拨款收入</w:t>
      </w:r>
      <w:r>
        <w:rPr>
          <w:rFonts w:hint="eastAsia" w:ascii="仿宋_GB2312" w:hAnsi="仿宋_GB2312" w:eastAsia="仿宋_GB2312" w:cs="仿宋_GB2312"/>
          <w:b w:val="0"/>
          <w:bCs w:val="0"/>
          <w:i w:val="0"/>
          <w:iCs w:val="0"/>
          <w:sz w:val="32"/>
          <w:szCs w:val="32"/>
          <w:highlight w:val="none"/>
        </w:rPr>
        <w:t>支出决算</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2</w:t>
      </w:r>
      <w:r>
        <w:rPr>
          <w:rFonts w:hint="eastAsia" w:ascii="仿宋_GB2312" w:hAnsi="仿宋_GB2312" w:eastAsia="仿宋_GB2312" w:cs="仿宋_GB2312"/>
          <w:b w:val="0"/>
          <w:bCs w:val="0"/>
          <w:i w:val="0"/>
          <w:iCs w:val="0"/>
          <w:caps/>
          <w:sz w:val="32"/>
          <w:szCs w:val="32"/>
        </w:rPr>
        <w:fldChar w:fldCharType="end"/>
      </w:r>
      <w:r>
        <w:rPr>
          <w:rFonts w:hint="eastAsia" w:ascii="仿宋_GB2312" w:hAnsi="仿宋_GB2312" w:eastAsia="仿宋_GB2312" w:cs="仿宋_GB2312"/>
          <w:b w:val="0"/>
          <w:bCs w:val="0"/>
          <w:i w:val="0"/>
          <w:iCs w:val="0"/>
          <w:caps/>
          <w:sz w:val="32"/>
          <w:szCs w:val="32"/>
          <w:lang w:val="en-US" w:eastAsia="zh-CN"/>
        </w:rPr>
        <w:t>1</w:t>
      </w:r>
    </w:p>
    <w:p>
      <w:pPr>
        <w:pStyle w:val="11"/>
        <w:tabs>
          <w:tab w:val="right" w:leader="dot" w:pos="8306"/>
        </w:tabs>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_Toc1583665982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highlight w:val="none"/>
        </w:rPr>
        <w:t>十二、</w:t>
      </w:r>
      <w:r>
        <w:rPr>
          <w:rFonts w:hint="eastAsia" w:ascii="仿宋_GB2312" w:hAnsi="仿宋_GB2312" w:eastAsia="仿宋_GB2312" w:cs="仿宋_GB2312"/>
          <w:b w:val="0"/>
          <w:bCs w:val="0"/>
          <w:i w:val="0"/>
          <w:iCs w:val="0"/>
          <w:sz w:val="32"/>
          <w:szCs w:val="32"/>
          <w:highlight w:val="none"/>
          <w:lang w:eastAsia="zh-CN"/>
        </w:rPr>
        <w:t>国有资本经营预算财政拨款支出决算表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2</w:t>
      </w:r>
      <w:r>
        <w:rPr>
          <w:rFonts w:hint="eastAsia" w:ascii="仿宋_GB2312" w:hAnsi="仿宋_GB2312" w:eastAsia="仿宋_GB2312" w:cs="仿宋_GB2312"/>
          <w:b w:val="0"/>
          <w:bCs w:val="0"/>
          <w:i w:val="0"/>
          <w:iCs w:val="0"/>
          <w:caps/>
          <w:sz w:val="32"/>
          <w:szCs w:val="32"/>
        </w:rPr>
        <w:fldChar w:fldCharType="end"/>
      </w:r>
      <w:r>
        <w:rPr>
          <w:rFonts w:hint="eastAsia" w:ascii="仿宋_GB2312" w:hAnsi="仿宋_GB2312" w:eastAsia="仿宋_GB2312" w:cs="仿宋_GB2312"/>
          <w:b w:val="0"/>
          <w:bCs w:val="0"/>
          <w:i w:val="0"/>
          <w:iCs w:val="0"/>
          <w:caps/>
          <w:sz w:val="32"/>
          <w:szCs w:val="32"/>
          <w:lang w:val="en-US" w:eastAsia="zh-CN"/>
        </w:rPr>
        <w:t>1</w:t>
      </w:r>
    </w:p>
    <w:p>
      <w:pPr>
        <w:pStyle w:val="11"/>
        <w:tabs>
          <w:tab w:val="right" w:leader="dot" w:pos="8306"/>
        </w:tabs>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_Toc1581864026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highlight w:val="none"/>
        </w:rPr>
        <w:t>十三、</w:t>
      </w:r>
      <w:r>
        <w:rPr>
          <w:rFonts w:hint="eastAsia" w:ascii="仿宋_GB2312" w:hAnsi="仿宋_GB2312" w:eastAsia="仿宋_GB2312" w:cs="仿宋_GB2312"/>
          <w:b w:val="0"/>
          <w:bCs w:val="0"/>
          <w:i w:val="0"/>
          <w:iCs w:val="0"/>
          <w:sz w:val="32"/>
          <w:szCs w:val="32"/>
          <w:highlight w:val="none"/>
          <w:lang w:val="en-US" w:eastAsia="zh-CN"/>
        </w:rPr>
        <w:t>财政拨款“三公”经费支出决算表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2</w:t>
      </w:r>
      <w:r>
        <w:rPr>
          <w:rFonts w:hint="eastAsia" w:ascii="仿宋_GB2312" w:hAnsi="仿宋_GB2312" w:eastAsia="仿宋_GB2312" w:cs="仿宋_GB2312"/>
          <w:b w:val="0"/>
          <w:bCs w:val="0"/>
          <w:i w:val="0"/>
          <w:iCs w:val="0"/>
          <w:caps/>
          <w:sz w:val="32"/>
          <w:szCs w:val="32"/>
        </w:rPr>
        <w:fldChar w:fldCharType="end"/>
      </w:r>
      <w:r>
        <w:rPr>
          <w:rFonts w:hint="eastAsia" w:ascii="仿宋_GB2312" w:hAnsi="仿宋_GB2312" w:eastAsia="仿宋_GB2312" w:cs="仿宋_GB2312"/>
          <w:b w:val="0"/>
          <w:bCs w:val="0"/>
          <w:i w:val="0"/>
          <w:iCs w:val="0"/>
          <w:caps/>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240" w:lineRule="auto"/>
        <w:ind w:firstLine="2400" w:firstLineChars="750"/>
        <w:textAlignment w:val="auto"/>
        <w:rPr>
          <w:rFonts w:hint="eastAsia" w:ascii="仿宋_GB2312" w:hAnsi="仿宋"/>
          <w:color w:val="FF0000"/>
          <w:szCs w:val="32"/>
        </w:rPr>
      </w:pPr>
      <w:r>
        <w:rPr>
          <w:rFonts w:hint="eastAsia" w:ascii="仿宋_GB2312" w:hAnsi="仿宋_GB2312" w:eastAsia="仿宋_GB2312" w:cs="仿宋_GB2312"/>
          <w:b w:val="0"/>
          <w:bCs w:val="0"/>
          <w:i w:val="0"/>
          <w:iCs w:val="0"/>
          <w:caps/>
          <w:sz w:val="32"/>
          <w:szCs w:val="32"/>
        </w:rPr>
        <w:fldChar w:fldCharType="end"/>
      </w:r>
    </w:p>
    <w:p>
      <w:pPr>
        <w:pStyle w:val="3"/>
        <w:jc w:val="center"/>
        <w:rPr>
          <w:rFonts w:hint="eastAsia" w:ascii="黑体" w:hAnsi="黑体" w:eastAsia="黑体"/>
          <w:b w:val="0"/>
        </w:rPr>
        <w:sectPr>
          <w:pgSz w:w="11906" w:h="16838"/>
          <w:pgMar w:top="1440" w:right="1800" w:bottom="1440" w:left="1800" w:header="851" w:footer="992" w:gutter="0"/>
          <w:cols w:space="425" w:num="1"/>
          <w:docGrid w:type="lines" w:linePitch="312" w:charSpace="0"/>
        </w:sectPr>
      </w:pPr>
      <w:bookmarkStart w:id="0" w:name="_Toc1326337954"/>
    </w:p>
    <w:p>
      <w:pPr>
        <w:pStyle w:val="3"/>
        <w:jc w:val="center"/>
        <w:rPr>
          <w:rStyle w:val="18"/>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18"/>
          <w:rFonts w:hint="eastAsia" w:ascii="黑体" w:hAnsi="黑体" w:eastAsia="黑体"/>
          <w:b w:val="0"/>
          <w:bCs w:val="0"/>
          <w:lang w:val="en-US" w:eastAsia="zh-CN"/>
        </w:rPr>
        <w:t>单位</w:t>
      </w:r>
      <w:r>
        <w:rPr>
          <w:rStyle w:val="18"/>
          <w:rFonts w:hint="eastAsia" w:ascii="黑体" w:hAnsi="黑体" w:eastAsia="黑体"/>
          <w:b w:val="0"/>
          <w:bCs w:val="0"/>
        </w:rPr>
        <w:t>概况</w:t>
      </w:r>
      <w:bookmarkEnd w:id="0"/>
    </w:p>
    <w:p>
      <w:pPr>
        <w:pStyle w:val="4"/>
        <w:numPr>
          <w:ilvl w:val="0"/>
          <w:numId w:val="0"/>
        </w:numPr>
        <w:rPr>
          <w:rFonts w:hint="eastAsia" w:ascii="仿宋" w:hAnsi="仿宋" w:eastAsia="仿宋" w:cs="仿宋"/>
          <w:sz w:val="28"/>
          <w:szCs w:val="28"/>
          <w:highlight w:val="none"/>
        </w:rPr>
      </w:pPr>
      <w:bookmarkStart w:id="1" w:name="_Toc562174725"/>
      <w:bookmarkStart w:id="2" w:name="_Toc15377197"/>
      <w:bookmarkStart w:id="3" w:name="_Toc15396600"/>
      <w:r>
        <w:rPr>
          <w:rStyle w:val="22"/>
          <w:rFonts w:hint="eastAsia" w:ascii="黑体" w:hAnsi="黑体" w:eastAsia="黑体"/>
          <w:b w:val="0"/>
          <w:bCs w:val="0"/>
          <w:color w:val="auto"/>
          <w:highlight w:val="none"/>
          <w:lang w:eastAsia="zh-CN"/>
        </w:rPr>
        <w:t>一、主要职责</w:t>
      </w:r>
      <w:bookmarkEnd w:id="1"/>
    </w:p>
    <w:p>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医院地处自贡市城乡结合部贡井区，是自贡西部区域医疗卫生中心，承担着自贡辖区及周边荣县、威远等区县广大人民群众的诊治、</w:t>
      </w:r>
      <w:bookmarkStart w:id="100" w:name="_GoBack"/>
      <w:bookmarkEnd w:id="100"/>
      <w:r>
        <w:rPr>
          <w:rFonts w:hint="eastAsia" w:ascii="仿宋" w:hAnsi="仿宋" w:eastAsia="仿宋" w:cs="仿宋"/>
          <w:sz w:val="28"/>
          <w:szCs w:val="28"/>
          <w:highlight w:val="none"/>
        </w:rPr>
        <w:t>康复、保健、预防，以及危急重症疾病的救治，以及区域内医疗业务技术指导和临床教学等工作任务。</w:t>
      </w:r>
    </w:p>
    <w:p>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医院始建于1950年，是一所集医、教、研、防为一体，专科特色突出的园林式国家三级甲等综合性医院、国家级“爱婴医院”</w:t>
      </w:r>
      <w:r>
        <w:rPr>
          <w:rFonts w:hint="eastAsia" w:ascii="仿宋" w:hAnsi="仿宋" w:eastAsia="仿宋" w:cs="仿宋"/>
          <w:sz w:val="28"/>
          <w:szCs w:val="28"/>
          <w:highlight w:val="none"/>
          <w:lang w:val="en-US" w:eastAsia="zh-CN"/>
        </w:rPr>
        <w:t>和</w:t>
      </w:r>
      <w:r>
        <w:rPr>
          <w:rFonts w:hint="eastAsia" w:ascii="仿宋" w:hAnsi="仿宋" w:eastAsia="仿宋" w:cs="仿宋"/>
          <w:sz w:val="28"/>
          <w:szCs w:val="28"/>
          <w:highlight w:val="none"/>
        </w:rPr>
        <w:t>四川省高等医学院校临床教学基地</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曾先后荣获“自贡市最佳文明单位”“自贡市委‘四好’领导班子”“先进党组织”“全省卫生系统民主评议行风工作成效显著单位”“全省卫生系统先进集体”等荣誉称号。</w:t>
      </w:r>
    </w:p>
    <w:bookmarkEnd w:id="2"/>
    <w:bookmarkEnd w:id="3"/>
    <w:p>
      <w:pPr>
        <w:pStyle w:val="4"/>
        <w:numPr>
          <w:ilvl w:val="0"/>
          <w:numId w:val="0"/>
        </w:numPr>
        <w:rPr>
          <w:rStyle w:val="22"/>
          <w:rFonts w:hint="eastAsia" w:ascii="黑体" w:hAnsi="黑体" w:eastAsia="黑体"/>
          <w:b w:val="0"/>
          <w:bCs w:val="0"/>
          <w:color w:val="auto"/>
          <w:highlight w:val="none"/>
          <w:lang w:val="en-US" w:eastAsia="zh-CN"/>
        </w:rPr>
      </w:pPr>
      <w:bookmarkStart w:id="4" w:name="_Toc12552010"/>
      <w:r>
        <w:rPr>
          <w:rStyle w:val="22"/>
          <w:rFonts w:hint="eastAsia" w:ascii="黑体" w:hAnsi="黑体" w:eastAsia="黑体"/>
          <w:b w:val="0"/>
          <w:bCs w:val="0"/>
          <w:color w:val="auto"/>
          <w:highlight w:val="none"/>
          <w:lang w:val="en-US" w:eastAsia="zh-CN"/>
        </w:rPr>
        <w:t>二、机构设置</w:t>
      </w:r>
      <w:bookmarkEnd w:id="4"/>
    </w:p>
    <w:p>
      <w:pPr>
        <w:numPr>
          <w:ilvl w:val="0"/>
          <w:numId w:val="0"/>
        </w:numPr>
        <w:ind w:firstLine="560" w:firstLineChars="200"/>
        <w:rPr>
          <w:rFonts w:hint="eastAsia" w:ascii="仿宋" w:hAnsi="仿宋" w:eastAsia="仿宋" w:cs="仿宋"/>
          <w:sz w:val="28"/>
          <w:szCs w:val="28"/>
          <w:highlight w:val="none"/>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hint="eastAsia" w:ascii="仿宋" w:hAnsi="仿宋" w:eastAsia="仿宋" w:cs="仿宋"/>
          <w:sz w:val="28"/>
          <w:szCs w:val="28"/>
          <w:highlight w:val="none"/>
        </w:rPr>
        <w:t>医院属自贡市卫生健康委员会下属二级单位 ，设置23个职能科室，分别为：党委办公室（统战部）、纪检监察室、宣传科、组织人事科、行政办公室、工会、团委、事业发展科、医务科、医患关系科、医疗质量管理科（病案科）、科教科、护理部、医院感染管理科（疾病预防控制科、预防保健科）、门诊办公室、审计科、财务科、医保与价格管理科、武装保卫科、信息科、计算机中心、采购科、后勤保障部（医学装备科、总务科、项目办）；设置35个临床、医技科室：消化内科、心血管内科、肾病内科、血透室、骨科、妇产科、胸外科、普外科、神经内科、呼吸与危重症医学科、老年医学科、内分泌科、肿瘤血液科、耳鼻咽喉科、眼科、儿科、新生儿重症监护室、神经外科、烧伤整形外科、泌尿外科、皮肤科、肝胆外科、血管外科、康复医学科、中医科、感染性疾病科、疼痛科、重症监护室、口腔科、检验科、输血科、病理科、超声医学科、心电图室、放射科等。</w:t>
      </w:r>
    </w:p>
    <w:p>
      <w:pPr>
        <w:pStyle w:val="3"/>
        <w:ind w:right="440"/>
        <w:jc w:val="right"/>
        <w:rPr>
          <w:rStyle w:val="18"/>
          <w:rFonts w:ascii="黑体" w:hAnsi="黑体" w:eastAsia="黑体"/>
          <w:b w:val="0"/>
          <w:bCs w:val="0"/>
        </w:rPr>
      </w:pPr>
      <w:bookmarkStart w:id="5" w:name="_Toc923390688"/>
      <w:bookmarkStart w:id="6" w:name="_Toc15377204"/>
      <w:bookmarkStart w:id="7" w:name="_Toc15396602"/>
      <w:r>
        <w:rPr>
          <w:rFonts w:hint="eastAsia" w:ascii="黑体" w:hAnsi="黑体" w:eastAsia="黑体"/>
          <w:b w:val="0"/>
          <w:color w:val="000000"/>
        </w:rPr>
        <w:t>第二部分</w:t>
      </w:r>
      <w:r>
        <w:rPr>
          <w:rFonts w:ascii="黑体" w:hAnsi="黑体" w:eastAsia="黑体"/>
          <w:color w:val="000000"/>
        </w:rPr>
        <w:t xml:space="preserve"> </w:t>
      </w:r>
      <w:r>
        <w:rPr>
          <w:rStyle w:val="18"/>
          <w:rFonts w:ascii="黑体" w:hAnsi="黑体" w:eastAsia="黑体"/>
          <w:b w:val="0"/>
          <w:bCs w:val="0"/>
        </w:rPr>
        <w:t>202</w:t>
      </w:r>
      <w:r>
        <w:rPr>
          <w:rStyle w:val="18"/>
          <w:rFonts w:hint="eastAsia" w:ascii="黑体" w:hAnsi="黑体" w:eastAsia="黑体"/>
          <w:b w:val="0"/>
          <w:bCs w:val="0"/>
          <w:lang w:val="en-US" w:eastAsia="zh-CN"/>
        </w:rPr>
        <w:t>2</w:t>
      </w:r>
      <w:r>
        <w:rPr>
          <w:rStyle w:val="18"/>
          <w:rFonts w:hint="eastAsia" w:ascii="黑体" w:hAnsi="黑体" w:eastAsia="黑体"/>
          <w:b w:val="0"/>
          <w:bCs w:val="0"/>
        </w:rPr>
        <w:t>年度</w:t>
      </w:r>
      <w:r>
        <w:rPr>
          <w:rStyle w:val="18"/>
          <w:rFonts w:hint="eastAsia" w:ascii="黑体" w:hAnsi="黑体" w:eastAsia="黑体"/>
          <w:b w:val="0"/>
          <w:bCs w:val="0"/>
          <w:lang w:val="en-US" w:eastAsia="zh-CN"/>
        </w:rPr>
        <w:t>单位</w:t>
      </w:r>
      <w:r>
        <w:rPr>
          <w:rStyle w:val="18"/>
          <w:rFonts w:hint="eastAsia" w:ascii="黑体" w:hAnsi="黑体" w:eastAsia="黑体"/>
          <w:b w:val="0"/>
          <w:bCs w:val="0"/>
        </w:rPr>
        <w:t>决算情况说明</w:t>
      </w:r>
      <w:bookmarkEnd w:id="5"/>
      <w:bookmarkEnd w:id="6"/>
      <w:bookmarkEnd w:id="7"/>
    </w:p>
    <w:p>
      <w:pPr>
        <w:pStyle w:val="20"/>
        <w:numPr>
          <w:ilvl w:val="0"/>
          <w:numId w:val="1"/>
        </w:numPr>
        <w:spacing w:line="600" w:lineRule="exact"/>
        <w:ind w:firstLineChars="0"/>
        <w:outlineLvl w:val="1"/>
        <w:rPr>
          <w:rStyle w:val="19"/>
          <w:rFonts w:ascii="黑体" w:hAnsi="黑体" w:eastAsia="黑体"/>
          <w:b w:val="0"/>
        </w:rPr>
      </w:pPr>
      <w:bookmarkStart w:id="8" w:name="_Toc15396603"/>
      <w:bookmarkStart w:id="9" w:name="_Toc15377205"/>
      <w:bookmarkStart w:id="10" w:name="_Toc783818997"/>
      <w:r>
        <w:rPr>
          <w:rFonts w:hint="eastAsia" w:ascii="黑体" w:hAnsi="黑体" w:eastAsia="黑体"/>
          <w:color w:val="000000"/>
          <w:sz w:val="32"/>
          <w:szCs w:val="32"/>
        </w:rPr>
        <w:t>收</w:t>
      </w:r>
      <w:r>
        <w:rPr>
          <w:rStyle w:val="19"/>
          <w:rFonts w:hint="eastAsia" w:ascii="黑体" w:hAnsi="黑体" w:eastAsia="黑体"/>
          <w:b w:val="0"/>
        </w:rPr>
        <w:t>入支出决算总体情况说明</w:t>
      </w:r>
      <w:bookmarkEnd w:id="8"/>
      <w:bookmarkEnd w:id="9"/>
      <w:bookmarkEnd w:id="10"/>
    </w:p>
    <w:p>
      <w:pPr>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年度收、支总计</w:t>
      </w:r>
      <w:r>
        <w:rPr>
          <w:rFonts w:hint="eastAsia" w:ascii="仿宋_GB2312" w:hAnsi="仿宋_GB2312" w:cs="仿宋_GB2312"/>
          <w:color w:val="auto"/>
          <w:sz w:val="32"/>
          <w:szCs w:val="32"/>
          <w:highlight w:val="none"/>
          <w:lang w:val="en-US" w:eastAsia="zh-CN"/>
        </w:rPr>
        <w:t>62472.9</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年相比，收、支总计各减少</w:t>
      </w:r>
      <w:r>
        <w:rPr>
          <w:rFonts w:hint="eastAsia" w:ascii="仿宋_GB2312" w:hAnsi="仿宋_GB2312" w:cs="仿宋_GB2312"/>
          <w:color w:val="auto"/>
          <w:sz w:val="32"/>
          <w:szCs w:val="32"/>
          <w:highlight w:val="none"/>
          <w:lang w:val="en-US" w:eastAsia="zh-CN"/>
        </w:rPr>
        <w:t>2701.86</w:t>
      </w:r>
      <w:r>
        <w:rPr>
          <w:rFonts w:hint="eastAsia" w:ascii="仿宋_GB2312" w:hAnsi="仿宋_GB2312" w:eastAsia="仿宋_GB2312" w:cs="仿宋_GB2312"/>
          <w:color w:val="auto"/>
          <w:sz w:val="32"/>
          <w:szCs w:val="32"/>
          <w:highlight w:val="none"/>
        </w:rPr>
        <w:t>万元，下降</w:t>
      </w:r>
      <w:r>
        <w:rPr>
          <w:rFonts w:hint="eastAsia" w:ascii="仿宋_GB2312" w:hAnsi="仿宋_GB2312" w:cs="仿宋_GB2312"/>
          <w:color w:val="auto"/>
          <w:sz w:val="32"/>
          <w:szCs w:val="32"/>
          <w:highlight w:val="none"/>
          <w:lang w:val="en-US" w:eastAsia="zh-CN"/>
        </w:rPr>
        <w:t>4.15</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cs="仿宋_GB2312"/>
          <w:color w:val="auto"/>
          <w:sz w:val="32"/>
          <w:szCs w:val="32"/>
          <w:highlight w:val="none"/>
          <w:lang w:val="en-US" w:eastAsia="zh-CN"/>
        </w:rPr>
        <w:t>贷款减少，债务预算收入减少，导致收、支总计减少</w:t>
      </w:r>
      <w:r>
        <w:rPr>
          <w:rFonts w:hint="eastAsia" w:ascii="仿宋_GB2312" w:hAnsi="仿宋_GB2312" w:eastAsia="仿宋_GB2312" w:cs="仿宋_GB2312"/>
          <w:color w:val="auto"/>
          <w:sz w:val="32"/>
          <w:szCs w:val="32"/>
          <w:highlight w:val="none"/>
          <w:lang w:eastAsia="zh-CN"/>
        </w:rPr>
        <w:t>。</w:t>
      </w:r>
    </w:p>
    <w:p>
      <w:pPr>
        <w:pStyle w:val="2"/>
        <w:jc w:val="center"/>
        <w:rPr>
          <w:rFonts w:hint="eastAsia"/>
        </w:rPr>
      </w:pPr>
      <w:r>
        <w:drawing>
          <wp:inline distT="0" distB="0" distL="114300" distR="114300">
            <wp:extent cx="5123815" cy="2752725"/>
            <wp:effectExtent l="0" t="0" r="635"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5"/>
                    <a:stretch>
                      <a:fillRect/>
                    </a:stretch>
                  </pic:blipFill>
                  <pic:spPr>
                    <a:xfrm>
                      <a:off x="0" y="0"/>
                      <a:ext cx="5123815" cy="2752725"/>
                    </a:xfrm>
                    <a:prstGeom prst="rect">
                      <a:avLst/>
                    </a:prstGeom>
                    <a:noFill/>
                    <a:ln>
                      <a:noFill/>
                    </a:ln>
                  </pic:spPr>
                </pic:pic>
              </a:graphicData>
            </a:graphic>
          </wp:inline>
        </w:drawing>
      </w:r>
    </w:p>
    <w:p>
      <w:pPr>
        <w:pStyle w:val="2"/>
        <w:jc w:val="center"/>
      </w:pPr>
      <w:r>
        <w:rPr>
          <w:rFonts w:hint="eastAsia" w:ascii="仿宋_GB2312" w:hAnsi="仿宋_GB2312" w:eastAsia="仿宋_GB2312" w:cs="仿宋_GB2312"/>
          <w:color w:val="auto"/>
          <w:sz w:val="32"/>
          <w:szCs w:val="32"/>
          <w:highlight w:val="none"/>
        </w:rPr>
        <w:t>（图1：收、支决算总计变动情况图）（柱状图）</w:t>
      </w:r>
    </w:p>
    <w:p>
      <w:pPr>
        <w:pStyle w:val="20"/>
        <w:numPr>
          <w:ilvl w:val="0"/>
          <w:numId w:val="1"/>
        </w:numPr>
        <w:spacing w:line="600" w:lineRule="exact"/>
        <w:ind w:firstLineChars="0"/>
        <w:outlineLvl w:val="1"/>
        <w:rPr>
          <w:rStyle w:val="19"/>
          <w:rFonts w:ascii="黑体" w:hAnsi="黑体" w:eastAsia="黑体"/>
          <w:b w:val="0"/>
          <w:highlight w:val="none"/>
        </w:rPr>
      </w:pPr>
      <w:bookmarkStart w:id="11" w:name="_Toc1478334546"/>
      <w:bookmarkStart w:id="12" w:name="_Toc804272208"/>
      <w:bookmarkStart w:id="13" w:name="_Toc15396604"/>
      <w:bookmarkStart w:id="14" w:name="_Toc15377206"/>
      <w:r>
        <w:rPr>
          <w:rFonts w:hint="eastAsia" w:ascii="黑体" w:hAnsi="黑体" w:eastAsia="黑体"/>
          <w:color w:val="000000"/>
          <w:sz w:val="32"/>
          <w:szCs w:val="32"/>
          <w:highlight w:val="none"/>
        </w:rPr>
        <w:t>收</w:t>
      </w:r>
      <w:r>
        <w:rPr>
          <w:rStyle w:val="19"/>
          <w:rFonts w:hint="eastAsia" w:ascii="黑体" w:hAnsi="黑体" w:eastAsia="黑体"/>
          <w:b w:val="0"/>
          <w:highlight w:val="none"/>
        </w:rPr>
        <w:t>入决算情况说明</w:t>
      </w:r>
      <w:bookmarkEnd w:id="11"/>
      <w:bookmarkEnd w:id="12"/>
      <w:bookmarkEnd w:id="13"/>
      <w:bookmarkEnd w:id="14"/>
    </w:p>
    <w:p>
      <w:pPr>
        <w:spacing w:line="600" w:lineRule="exact"/>
        <w:ind w:firstLine="640" w:firstLineChars="200"/>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年本年收入合计49738.6</w:t>
      </w:r>
      <w:r>
        <w:rPr>
          <w:rFonts w:hint="eastAsia" w:ascii="仿宋_GB2312"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万元，其中：一般公共预算财政拨款收入742.24万元，占</w:t>
      </w:r>
      <w:r>
        <w:rPr>
          <w:rFonts w:hint="eastAsia" w:ascii="仿宋_GB2312" w:hAnsi="仿宋_GB2312" w:cs="仿宋_GB2312"/>
          <w:color w:val="auto"/>
          <w:sz w:val="32"/>
          <w:szCs w:val="32"/>
          <w:highlight w:val="none"/>
          <w:lang w:val="en-US" w:eastAsia="zh-CN"/>
        </w:rPr>
        <w:t>1.49</w:t>
      </w:r>
      <w:r>
        <w:rPr>
          <w:rFonts w:hint="eastAsia" w:ascii="仿宋_GB2312" w:hAnsi="仿宋_GB2312" w:eastAsia="仿宋_GB2312" w:cs="仿宋_GB2312"/>
          <w:color w:val="auto"/>
          <w:sz w:val="32"/>
          <w:szCs w:val="32"/>
          <w:highlight w:val="none"/>
        </w:rPr>
        <w:t>%；政府性基金预算财政拨款收入</w:t>
      </w:r>
      <w:r>
        <w:rPr>
          <w:rFonts w:hint="eastAsia" w:ascii="仿宋_GB2312" w:hAnsi="仿宋_GB2312" w:cs="仿宋_GB2312"/>
          <w:color w:val="auto"/>
          <w:sz w:val="32"/>
          <w:szCs w:val="32"/>
          <w:highlight w:val="none"/>
          <w:lang w:val="en-US" w:eastAsia="zh-CN"/>
        </w:rPr>
        <w:t>2000</w:t>
      </w:r>
      <w:r>
        <w:rPr>
          <w:rFonts w:hint="eastAsia" w:ascii="仿宋_GB2312" w:hAnsi="仿宋_GB2312" w:eastAsia="仿宋_GB2312" w:cs="仿宋_GB2312"/>
          <w:color w:val="auto"/>
          <w:sz w:val="32"/>
          <w:szCs w:val="32"/>
          <w:highlight w:val="none"/>
        </w:rPr>
        <w:t>万元，占</w:t>
      </w:r>
      <w:r>
        <w:rPr>
          <w:rFonts w:hint="eastAsia" w:ascii="仿宋_GB2312" w:hAnsi="仿宋_GB2312" w:cs="仿宋_GB2312"/>
          <w:color w:val="auto"/>
          <w:sz w:val="32"/>
          <w:szCs w:val="32"/>
          <w:highlight w:val="none"/>
          <w:lang w:val="en-US" w:eastAsia="zh-CN"/>
        </w:rPr>
        <w:t>4.02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%；上级补助收入</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%；事业收入42691.38万元，占</w:t>
      </w:r>
      <w:r>
        <w:rPr>
          <w:rFonts w:hint="eastAsia" w:ascii="仿宋_GB2312" w:hAnsi="仿宋_GB2312" w:cs="仿宋_GB2312"/>
          <w:color w:val="auto"/>
          <w:sz w:val="32"/>
          <w:szCs w:val="32"/>
          <w:highlight w:val="none"/>
          <w:lang w:val="en-US" w:eastAsia="zh-CN"/>
        </w:rPr>
        <w:t>85.83</w:t>
      </w:r>
      <w:r>
        <w:rPr>
          <w:rFonts w:hint="eastAsia" w:ascii="仿宋_GB2312" w:hAnsi="仿宋_GB2312" w:eastAsia="仿宋_GB2312" w:cs="仿宋_GB2312"/>
          <w:color w:val="auto"/>
          <w:sz w:val="32"/>
          <w:szCs w:val="32"/>
          <w:highlight w:val="none"/>
        </w:rPr>
        <w:t>%；经营收入</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%；其他收入4305.0</w:t>
      </w:r>
      <w:r>
        <w:rPr>
          <w:rFonts w:hint="eastAsia" w:ascii="仿宋_GB2312"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万元，占</w:t>
      </w:r>
      <w:r>
        <w:rPr>
          <w:rFonts w:hint="eastAsia" w:ascii="仿宋_GB2312" w:hAnsi="仿宋_GB2312" w:cs="仿宋_GB2312"/>
          <w:color w:val="auto"/>
          <w:sz w:val="32"/>
          <w:szCs w:val="32"/>
          <w:highlight w:val="none"/>
          <w:lang w:val="en-US" w:eastAsia="zh-CN"/>
        </w:rPr>
        <w:t>8.66</w:t>
      </w:r>
      <w:r>
        <w:rPr>
          <w:rFonts w:hint="eastAsia" w:ascii="仿宋_GB2312" w:hAnsi="仿宋_GB2312" w:eastAsia="仿宋_GB2312" w:cs="仿宋_GB2312"/>
          <w:color w:val="auto"/>
          <w:sz w:val="32"/>
          <w:szCs w:val="32"/>
          <w:highlight w:val="none"/>
        </w:rPr>
        <w:t>%。</w:t>
      </w:r>
    </w:p>
    <w:p>
      <w:pPr>
        <w:pStyle w:val="2"/>
        <w:jc w:val="center"/>
        <w:rPr>
          <w:rFonts w:ascii="仿宋_GB2312" w:eastAsia="仿宋_GB2312"/>
          <w:color w:val="FF0000"/>
          <w:sz w:val="32"/>
          <w:szCs w:val="32"/>
        </w:rPr>
      </w:pPr>
      <w:r>
        <w:drawing>
          <wp:inline distT="0" distB="0" distL="114300" distR="114300">
            <wp:extent cx="4581525" cy="27527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581525" cy="2752725"/>
                    </a:xfrm>
                    <a:prstGeom prst="rect">
                      <a:avLst/>
                    </a:prstGeom>
                    <a:noFill/>
                    <a:ln>
                      <a:noFill/>
                    </a:ln>
                  </pic:spPr>
                </pic:pic>
              </a:graphicData>
            </a:graphic>
          </wp:inline>
        </w:drawing>
      </w:r>
    </w:p>
    <w:p>
      <w:pPr>
        <w:pStyle w:val="2"/>
        <w:jc w:val="center"/>
        <w:rPr>
          <w:rFonts w:ascii="仿宋_GB2312" w:eastAsia="仿宋_GB2312"/>
          <w:color w:val="FF0000"/>
          <w:sz w:val="32"/>
          <w:szCs w:val="32"/>
        </w:rPr>
      </w:pPr>
      <w:r>
        <w:rPr>
          <w:rFonts w:hint="eastAsia" w:ascii="仿宋_GB2312" w:hAnsi="仿宋_GB2312" w:eastAsia="仿宋_GB2312" w:cs="仿宋_GB2312"/>
          <w:color w:val="000000"/>
          <w:sz w:val="32"/>
          <w:szCs w:val="32"/>
        </w:rPr>
        <w:t>（图2：收入决算结构图）（饼状图）</w:t>
      </w:r>
    </w:p>
    <w:p>
      <w:pPr>
        <w:pStyle w:val="20"/>
        <w:numPr>
          <w:ilvl w:val="0"/>
          <w:numId w:val="1"/>
        </w:numPr>
        <w:spacing w:line="600" w:lineRule="exact"/>
        <w:ind w:firstLineChars="0"/>
        <w:outlineLvl w:val="1"/>
        <w:rPr>
          <w:rStyle w:val="19"/>
          <w:rFonts w:ascii="黑体" w:hAnsi="黑体" w:eastAsia="黑体"/>
          <w:b w:val="0"/>
        </w:rPr>
      </w:pPr>
      <w:bookmarkStart w:id="15" w:name="_Toc1225355693"/>
      <w:bookmarkStart w:id="16" w:name="_Toc609704471"/>
      <w:bookmarkStart w:id="17" w:name="_Toc15377207"/>
      <w:bookmarkStart w:id="18" w:name="_Toc15396605"/>
      <w:r>
        <w:rPr>
          <w:rFonts w:hint="eastAsia" w:ascii="黑体" w:hAnsi="黑体" w:eastAsia="黑体"/>
          <w:color w:val="000000"/>
          <w:sz w:val="32"/>
          <w:szCs w:val="32"/>
        </w:rPr>
        <w:t>支</w:t>
      </w:r>
      <w:r>
        <w:rPr>
          <w:rStyle w:val="19"/>
          <w:rFonts w:hint="eastAsia" w:ascii="黑体" w:hAnsi="黑体" w:eastAsia="黑体"/>
          <w:b w:val="0"/>
        </w:rPr>
        <w:t>出决算情况说明</w:t>
      </w:r>
      <w:bookmarkEnd w:id="15"/>
      <w:bookmarkEnd w:id="16"/>
      <w:bookmarkEnd w:id="17"/>
      <w:bookmarkEnd w:id="18"/>
    </w:p>
    <w:p>
      <w:pPr>
        <w:spacing w:line="600" w:lineRule="exact"/>
        <w:ind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年本年支出合计62462.3万元，其中：基本支出26113.5万元，占</w:t>
      </w:r>
      <w:r>
        <w:rPr>
          <w:rFonts w:hint="eastAsia" w:ascii="仿宋_GB2312" w:hAnsi="仿宋_GB2312" w:cs="仿宋_GB2312"/>
          <w:color w:val="auto"/>
          <w:sz w:val="32"/>
          <w:szCs w:val="32"/>
          <w:highlight w:val="none"/>
          <w:lang w:val="en-US" w:eastAsia="zh-CN"/>
        </w:rPr>
        <w:t>41.81</w:t>
      </w:r>
      <w:r>
        <w:rPr>
          <w:rFonts w:hint="eastAsia" w:ascii="仿宋_GB2312" w:hAnsi="仿宋_GB2312" w:eastAsia="仿宋_GB2312" w:cs="仿宋_GB2312"/>
          <w:color w:val="auto"/>
          <w:sz w:val="32"/>
          <w:szCs w:val="32"/>
          <w:highlight w:val="none"/>
        </w:rPr>
        <w:t>%；项目支出36348.79万元，占</w:t>
      </w:r>
      <w:r>
        <w:rPr>
          <w:rFonts w:hint="eastAsia" w:ascii="仿宋_GB2312" w:hAnsi="仿宋_GB2312" w:cs="仿宋_GB2312"/>
          <w:color w:val="auto"/>
          <w:sz w:val="32"/>
          <w:szCs w:val="32"/>
          <w:highlight w:val="none"/>
          <w:lang w:val="en-US" w:eastAsia="zh-CN"/>
        </w:rPr>
        <w:t>58.19</w:t>
      </w:r>
      <w:r>
        <w:rPr>
          <w:rFonts w:hint="eastAsia" w:ascii="仿宋_GB2312" w:hAnsi="仿宋_GB2312" w:eastAsia="仿宋_GB2312" w:cs="仿宋_GB2312"/>
          <w:color w:val="auto"/>
          <w:sz w:val="32"/>
          <w:szCs w:val="32"/>
          <w:highlight w:val="none"/>
        </w:rPr>
        <w:t>%；上缴上级支出</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%；经营支出</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pPr>
        <w:pStyle w:val="2"/>
        <w:jc w:val="center"/>
      </w:pPr>
      <w:r>
        <w:drawing>
          <wp:inline distT="0" distB="0" distL="114300" distR="114300">
            <wp:extent cx="4572000" cy="2743200"/>
            <wp:effectExtent l="4445" t="4445" r="14605" b="14605"/>
            <wp:docPr id="8"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（图3：支出决算结构图）（饼状图）</w:t>
      </w:r>
    </w:p>
    <w:p>
      <w:pPr>
        <w:spacing w:line="600" w:lineRule="exact"/>
        <w:ind w:firstLine="640" w:firstLineChars="200"/>
        <w:outlineLvl w:val="1"/>
        <w:rPr>
          <w:rFonts w:hint="eastAsia" w:ascii="黑体" w:hAnsi="黑体" w:eastAsia="黑体"/>
          <w:color w:val="000000"/>
          <w:sz w:val="32"/>
          <w:szCs w:val="32"/>
        </w:rPr>
      </w:pPr>
      <w:bookmarkStart w:id="19" w:name="_Toc15396606"/>
      <w:bookmarkStart w:id="20" w:name="_Toc843659644"/>
      <w:bookmarkStart w:id="21" w:name="_Toc1887585605"/>
      <w:bookmarkStart w:id="22" w:name="_Toc15377208"/>
    </w:p>
    <w:p>
      <w:pPr>
        <w:spacing w:line="600" w:lineRule="exact"/>
        <w:ind w:firstLine="640" w:firstLineChars="200"/>
        <w:outlineLvl w:val="1"/>
        <w:rPr>
          <w:rStyle w:val="19"/>
          <w:rFonts w:ascii="黑体" w:hAnsi="黑体" w:eastAsia="黑体"/>
          <w:b w:val="0"/>
          <w:highlight w:val="none"/>
        </w:rPr>
      </w:pPr>
      <w:r>
        <w:rPr>
          <w:rFonts w:hint="eastAsia" w:ascii="黑体" w:hAnsi="黑体" w:eastAsia="黑体"/>
          <w:color w:val="000000"/>
          <w:sz w:val="32"/>
          <w:szCs w:val="32"/>
        </w:rPr>
        <w:t>四、</w:t>
      </w:r>
      <w:r>
        <w:rPr>
          <w:rFonts w:hint="eastAsia" w:ascii="黑体" w:hAnsi="黑体" w:eastAsia="黑体"/>
          <w:color w:val="000000"/>
          <w:sz w:val="32"/>
          <w:szCs w:val="32"/>
          <w:highlight w:val="none"/>
        </w:rPr>
        <w:t>财</w:t>
      </w:r>
      <w:r>
        <w:rPr>
          <w:rStyle w:val="19"/>
          <w:rFonts w:hint="eastAsia" w:ascii="黑体" w:hAnsi="黑体" w:eastAsia="黑体"/>
          <w:b w:val="0"/>
          <w:highlight w:val="none"/>
        </w:rPr>
        <w:t>政拨款收入支出决算总体情况说明</w:t>
      </w:r>
      <w:bookmarkEnd w:id="19"/>
      <w:bookmarkEnd w:id="20"/>
      <w:bookmarkEnd w:id="21"/>
      <w:bookmarkEnd w:id="22"/>
    </w:p>
    <w:p>
      <w:pPr>
        <w:spacing w:line="600" w:lineRule="exact"/>
        <w:ind w:firstLine="640"/>
        <w:rPr>
          <w:rFonts w:hint="default" w:ascii="仿宋" w:hAnsi="仿宋" w:eastAsia="仿宋"/>
          <w:color w:val="auto"/>
          <w:sz w:val="32"/>
          <w:szCs w:val="32"/>
          <w:highlight w:val="none"/>
          <w:lang w:val="en-US"/>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年财政拨款收、支总计14687.45万元。与20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年相比，财政拨款收、支总计各增加</w:t>
      </w:r>
      <w:r>
        <w:rPr>
          <w:rFonts w:hint="eastAsia" w:ascii="仿宋_GB2312" w:hAnsi="仿宋_GB2312" w:cs="仿宋_GB2312"/>
          <w:color w:val="auto"/>
          <w:sz w:val="32"/>
          <w:szCs w:val="32"/>
          <w:highlight w:val="none"/>
          <w:lang w:val="en-US" w:eastAsia="zh-CN"/>
        </w:rPr>
        <w:t>726.77</w:t>
      </w:r>
      <w:r>
        <w:rPr>
          <w:rFonts w:hint="eastAsia" w:ascii="仿宋_GB2312" w:hAnsi="仿宋_GB2312" w:eastAsia="仿宋_GB2312" w:cs="仿宋_GB2312"/>
          <w:color w:val="auto"/>
          <w:sz w:val="32"/>
          <w:szCs w:val="32"/>
          <w:highlight w:val="none"/>
        </w:rPr>
        <w:t>万元，增长</w:t>
      </w:r>
      <w:r>
        <w:rPr>
          <w:rFonts w:hint="eastAsia" w:ascii="仿宋_GB2312" w:hAnsi="仿宋_GB2312" w:cs="仿宋_GB2312"/>
          <w:color w:val="auto"/>
          <w:sz w:val="32"/>
          <w:szCs w:val="32"/>
          <w:highlight w:val="none"/>
          <w:lang w:val="en-US" w:eastAsia="zh-CN"/>
        </w:rPr>
        <w:t>5.21</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cs="仿宋_GB2312"/>
          <w:color w:val="auto"/>
          <w:sz w:val="32"/>
          <w:szCs w:val="32"/>
          <w:highlight w:val="none"/>
          <w:lang w:val="en-US" w:eastAsia="zh-CN"/>
        </w:rPr>
        <w:t>门急诊大楼</w:t>
      </w:r>
      <w:r>
        <w:rPr>
          <w:rFonts w:hint="eastAsia" w:ascii="仿宋" w:eastAsia="仿宋" w:cs="仿宋"/>
          <w:szCs w:val="32"/>
          <w:highlight w:val="none"/>
        </w:rPr>
        <w:t>项目债券</w:t>
      </w:r>
      <w:r>
        <w:rPr>
          <w:rFonts w:hint="eastAsia" w:ascii="仿宋" w:eastAsia="仿宋" w:cs="仿宋"/>
          <w:szCs w:val="32"/>
          <w:highlight w:val="none"/>
          <w:lang w:val="en-US" w:eastAsia="zh-CN"/>
        </w:rPr>
        <w:t>资金支出增加。</w:t>
      </w:r>
    </w:p>
    <w:p>
      <w:pPr>
        <w:spacing w:line="600" w:lineRule="exact"/>
        <w:rPr>
          <w:rFonts w:ascii="仿宋" w:hAnsi="仿宋" w:eastAsia="仿宋"/>
          <w:color w:val="000000"/>
          <w:sz w:val="32"/>
          <w:szCs w:val="32"/>
        </w:rPr>
      </w:pPr>
      <w:r>
        <w:drawing>
          <wp:anchor distT="0" distB="0" distL="114300" distR="114300" simplePos="0" relativeHeight="251660288" behindDoc="0" locked="0" layoutInCell="1" allowOverlap="1">
            <wp:simplePos x="0" y="0"/>
            <wp:positionH relativeFrom="column">
              <wp:posOffset>311150</wp:posOffset>
            </wp:positionH>
            <wp:positionV relativeFrom="paragraph">
              <wp:posOffset>46990</wp:posOffset>
            </wp:positionV>
            <wp:extent cx="4581525" cy="2648585"/>
            <wp:effectExtent l="0" t="0" r="9525" b="18415"/>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8"/>
                    <a:stretch>
                      <a:fillRect/>
                    </a:stretch>
                  </pic:blipFill>
                  <pic:spPr>
                    <a:xfrm>
                      <a:off x="0" y="0"/>
                      <a:ext cx="4581525" cy="2648585"/>
                    </a:xfrm>
                    <a:prstGeom prst="rect">
                      <a:avLst/>
                    </a:prstGeom>
                    <a:noFill/>
                    <a:ln>
                      <a:noFill/>
                    </a:ln>
                  </pic:spPr>
                </pic:pic>
              </a:graphicData>
            </a:graphic>
          </wp:anchor>
        </w:drawing>
      </w: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（图4：财政拨款收、支决算总计变动情况）（柱状图）</w:t>
      </w:r>
    </w:p>
    <w:p>
      <w:pPr>
        <w:spacing w:line="600" w:lineRule="exact"/>
        <w:ind w:firstLine="640" w:firstLineChars="200"/>
        <w:outlineLvl w:val="1"/>
        <w:rPr>
          <w:rStyle w:val="19"/>
          <w:rFonts w:ascii="黑体" w:hAnsi="黑体" w:eastAsia="黑体"/>
          <w:b w:val="0"/>
        </w:rPr>
      </w:pPr>
      <w:bookmarkStart w:id="23" w:name="_Toc15377209"/>
      <w:bookmarkStart w:id="24" w:name="_Toc1473790793"/>
      <w:bookmarkStart w:id="25" w:name="_Toc883410705"/>
      <w:bookmarkStart w:id="26"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9"/>
          <w:rFonts w:hint="eastAsia" w:ascii="黑体" w:hAnsi="黑体" w:eastAsia="黑体"/>
          <w:b w:val="0"/>
        </w:rPr>
        <w:t>般公共预算财政拨款支出决算情况说明</w:t>
      </w:r>
      <w:bookmarkEnd w:id="23"/>
      <w:bookmarkEnd w:id="24"/>
      <w:bookmarkEnd w:id="25"/>
      <w:bookmarkEnd w:id="26"/>
    </w:p>
    <w:p>
      <w:pPr>
        <w:spacing w:line="600" w:lineRule="exact"/>
        <w:ind w:firstLine="643" w:firstLineChars="200"/>
        <w:outlineLvl w:val="2"/>
        <w:rPr>
          <w:rFonts w:ascii="仿宋" w:hAnsi="仿宋" w:eastAsia="仿宋"/>
          <w:b/>
          <w:color w:val="000000"/>
          <w:sz w:val="32"/>
          <w:szCs w:val="32"/>
        </w:rPr>
      </w:pPr>
      <w:bookmarkStart w:id="27" w:name="_Toc15377210"/>
      <w:r>
        <w:rPr>
          <w:rFonts w:hint="eastAsia" w:ascii="仿宋" w:hAnsi="仿宋" w:eastAsia="仿宋"/>
          <w:b/>
          <w:color w:val="000000"/>
          <w:sz w:val="32"/>
          <w:szCs w:val="32"/>
        </w:rPr>
        <w:t>（一）一般公共预算财政拨款支出决算总体情况</w:t>
      </w:r>
      <w:bookmarkEnd w:id="27"/>
    </w:p>
    <w:p>
      <w:pPr>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cs="仿宋_GB2312"/>
          <w:color w:val="auto"/>
          <w:sz w:val="32"/>
          <w:szCs w:val="32"/>
          <w:highlight w:val="none"/>
          <w:lang w:val="en-US" w:eastAsia="zh-CN"/>
        </w:rPr>
        <w:t>945.01</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cs="仿宋_GB2312"/>
          <w:color w:val="auto"/>
          <w:sz w:val="32"/>
          <w:szCs w:val="32"/>
          <w:highlight w:val="none"/>
          <w:lang w:val="en-US" w:eastAsia="zh-CN"/>
        </w:rPr>
        <w:t>1.51</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年相比，一般公共预算财政拨款</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减少</w:t>
      </w:r>
      <w:r>
        <w:rPr>
          <w:rFonts w:hint="eastAsia" w:ascii="仿宋_GB2312" w:hAnsi="仿宋_GB2312" w:cs="仿宋_GB2312"/>
          <w:color w:val="auto"/>
          <w:sz w:val="32"/>
          <w:szCs w:val="32"/>
          <w:highlight w:val="none"/>
          <w:lang w:val="en-US" w:eastAsia="zh-CN"/>
        </w:rPr>
        <w:t>302.3</w:t>
      </w:r>
      <w:r>
        <w:rPr>
          <w:rFonts w:hint="eastAsia" w:ascii="仿宋_GB2312" w:hAnsi="仿宋_GB2312" w:eastAsia="仿宋_GB2312" w:cs="仿宋_GB2312"/>
          <w:color w:val="auto"/>
          <w:sz w:val="32"/>
          <w:szCs w:val="32"/>
          <w:highlight w:val="none"/>
        </w:rPr>
        <w:t>万元，下降</w:t>
      </w:r>
      <w:r>
        <w:rPr>
          <w:rFonts w:hint="eastAsia" w:ascii="仿宋_GB2312" w:hAnsi="仿宋_GB2312" w:cs="仿宋_GB2312"/>
          <w:color w:val="auto"/>
          <w:sz w:val="32"/>
          <w:szCs w:val="32"/>
          <w:highlight w:val="none"/>
          <w:lang w:val="en-US" w:eastAsia="zh-CN"/>
        </w:rPr>
        <w:t>24.24</w:t>
      </w:r>
      <w:r>
        <w:rPr>
          <w:rFonts w:hint="eastAsia" w:ascii="仿宋_GB2312" w:hAnsi="仿宋_GB2312" w:eastAsia="仿宋_GB2312" w:cs="仿宋_GB2312"/>
          <w:color w:val="auto"/>
          <w:sz w:val="32"/>
          <w:szCs w:val="32"/>
          <w:highlight w:val="none"/>
        </w:rPr>
        <w:t>%。主要变动原因是2</w:t>
      </w:r>
      <w:r>
        <w:rPr>
          <w:rFonts w:hint="eastAsia" w:ascii="仿宋_GB2312" w:hAnsi="仿宋_GB2312" w:cs="仿宋_GB2312"/>
          <w:color w:val="auto"/>
          <w:sz w:val="32"/>
          <w:szCs w:val="32"/>
          <w:highlight w:val="none"/>
          <w:lang w:val="en-US" w:eastAsia="zh-CN"/>
        </w:rPr>
        <w:t>02</w:t>
      </w:r>
      <w:r>
        <w:rPr>
          <w:rFonts w:hint="eastAsia" w:ascii="仿宋_GB2312" w:hAnsi="仿宋_GB2312" w:eastAsia="仿宋_GB2312" w:cs="仿宋_GB2312"/>
          <w:color w:val="auto"/>
          <w:sz w:val="32"/>
          <w:szCs w:val="32"/>
          <w:highlight w:val="none"/>
        </w:rPr>
        <w:t>1年开支“十三五”节约型公共机构示范单位奖补资金15万元、省级财政养老服务-筱溪社区养老服务200万元、核酸检测补助资金79.63万元</w:t>
      </w:r>
      <w:r>
        <w:rPr>
          <w:rFonts w:hint="eastAsia" w:ascii="仿宋_GB2312" w:hAnsi="仿宋_GB2312" w:cs="仿宋_GB2312"/>
          <w:color w:val="auto"/>
          <w:sz w:val="32"/>
          <w:szCs w:val="32"/>
          <w:highlight w:val="none"/>
          <w:lang w:eastAsia="zh-CN"/>
        </w:rPr>
        <w:t>。</w:t>
      </w: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r>
        <w:drawing>
          <wp:anchor distT="0" distB="0" distL="114300" distR="114300" simplePos="0" relativeHeight="251661312" behindDoc="0" locked="0" layoutInCell="1" allowOverlap="1">
            <wp:simplePos x="0" y="0"/>
            <wp:positionH relativeFrom="column">
              <wp:posOffset>387350</wp:posOffset>
            </wp:positionH>
            <wp:positionV relativeFrom="paragraph">
              <wp:posOffset>-60960</wp:posOffset>
            </wp:positionV>
            <wp:extent cx="4581525" cy="2752725"/>
            <wp:effectExtent l="0" t="0" r="9525" b="9525"/>
            <wp:wrapNone/>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9"/>
                    <a:stretch>
                      <a:fillRect/>
                    </a:stretch>
                  </pic:blipFill>
                  <pic:spPr>
                    <a:xfrm>
                      <a:off x="0" y="0"/>
                      <a:ext cx="4581525" cy="2752725"/>
                    </a:xfrm>
                    <a:prstGeom prst="rect">
                      <a:avLst/>
                    </a:prstGeom>
                    <a:noFill/>
                    <a:ln>
                      <a:noFill/>
                    </a:ln>
                  </pic:spPr>
                </pic:pic>
              </a:graphicData>
            </a:graphic>
          </wp:anchor>
        </w:drawing>
      </w: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（图5：一般公共预算财政拨款支出决算变动情况）（柱状图）</w:t>
      </w:r>
    </w:p>
    <w:p>
      <w:pPr>
        <w:spacing w:line="600" w:lineRule="exact"/>
        <w:ind w:firstLine="643" w:firstLineChars="200"/>
        <w:outlineLvl w:val="2"/>
        <w:rPr>
          <w:rFonts w:ascii="仿宋" w:hAnsi="仿宋" w:eastAsia="仿宋"/>
          <w:b/>
          <w:color w:val="000000"/>
          <w:sz w:val="32"/>
          <w:szCs w:val="32"/>
        </w:rPr>
      </w:pPr>
      <w:bookmarkStart w:id="28" w:name="_Toc15377211"/>
      <w:r>
        <w:rPr>
          <w:rFonts w:hint="eastAsia" w:ascii="仿宋" w:hAnsi="仿宋" w:eastAsia="仿宋"/>
          <w:b/>
          <w:color w:val="000000"/>
          <w:sz w:val="32"/>
          <w:szCs w:val="32"/>
        </w:rPr>
        <w:t>（二）一般公共预算财政拨款支出决算结构情况</w:t>
      </w:r>
      <w:bookmarkEnd w:id="28"/>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cs="仿宋_GB2312"/>
          <w:color w:val="auto"/>
          <w:sz w:val="32"/>
          <w:szCs w:val="32"/>
          <w:highlight w:val="none"/>
          <w:lang w:val="en-US" w:eastAsia="zh-CN"/>
        </w:rPr>
        <w:t>945.01</w:t>
      </w:r>
      <w:r>
        <w:rPr>
          <w:rFonts w:hint="eastAsia" w:ascii="仿宋_GB2312" w:hAnsi="仿宋_GB2312" w:eastAsia="仿宋_GB2312" w:cs="仿宋_GB2312"/>
          <w:color w:val="auto"/>
          <w:sz w:val="32"/>
          <w:szCs w:val="32"/>
          <w:highlight w:val="none"/>
        </w:rPr>
        <w:t>万元，主要用于以下方面:</w:t>
      </w:r>
      <w:r>
        <w:rPr>
          <w:rFonts w:hint="eastAsia" w:ascii="仿宋_GB2312" w:hAnsi="仿宋_GB2312" w:eastAsia="仿宋_GB2312" w:cs="仿宋_GB2312"/>
          <w:b/>
          <w:color w:val="auto"/>
          <w:sz w:val="32"/>
          <w:szCs w:val="32"/>
          <w:highlight w:val="none"/>
        </w:rPr>
        <w:t>一般公共服务</w:t>
      </w:r>
      <w:r>
        <w:rPr>
          <w:rFonts w:hint="eastAsia" w:ascii="仿宋_GB2312" w:hAnsi="仿宋_GB2312" w:eastAsia="仿宋_GB2312" w:cs="仿宋_GB2312"/>
          <w:b/>
          <w:bCs/>
          <w:color w:val="auto"/>
          <w:sz w:val="32"/>
          <w:szCs w:val="32"/>
          <w:highlight w:val="none"/>
        </w:rPr>
        <w:t>支出</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color w:val="auto"/>
          <w:sz w:val="32"/>
          <w:szCs w:val="32"/>
          <w:highlight w:val="none"/>
        </w:rPr>
        <w:t>教育支出</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color w:val="auto"/>
          <w:sz w:val="32"/>
          <w:szCs w:val="32"/>
          <w:highlight w:val="none"/>
        </w:rPr>
        <w:t>科学技术</w:t>
      </w:r>
      <w:r>
        <w:rPr>
          <w:rFonts w:hint="eastAsia" w:ascii="仿宋_GB2312" w:hAnsi="仿宋_GB2312" w:eastAsia="仿宋_GB2312" w:cs="仿宋_GB2312"/>
          <w:b/>
          <w:bCs/>
          <w:color w:val="auto"/>
          <w:sz w:val="32"/>
          <w:szCs w:val="32"/>
          <w:highlight w:val="none"/>
        </w:rPr>
        <w:t>支出</w:t>
      </w:r>
      <w:r>
        <w:rPr>
          <w:rFonts w:hint="eastAsia" w:ascii="仿宋_GB2312" w:hAnsi="仿宋_GB2312" w:cs="仿宋_GB2312"/>
          <w:color w:val="auto"/>
          <w:sz w:val="32"/>
          <w:szCs w:val="32"/>
          <w:highlight w:val="none"/>
          <w:lang w:val="en-US" w:eastAsia="zh-CN"/>
        </w:rPr>
        <w:t>2.29</w:t>
      </w:r>
      <w:r>
        <w:rPr>
          <w:rFonts w:hint="eastAsia" w:ascii="仿宋_GB2312" w:hAnsi="仿宋_GB2312" w:eastAsia="仿宋_GB2312" w:cs="仿宋_GB2312"/>
          <w:color w:val="auto"/>
          <w:sz w:val="32"/>
          <w:szCs w:val="32"/>
          <w:highlight w:val="none"/>
        </w:rPr>
        <w:t>万元，占</w:t>
      </w:r>
      <w:r>
        <w:rPr>
          <w:rFonts w:hint="eastAsia" w:ascii="仿宋_GB2312" w:hAnsi="仿宋_GB2312" w:cs="仿宋_GB2312"/>
          <w:color w:val="auto"/>
          <w:sz w:val="32"/>
          <w:szCs w:val="32"/>
          <w:highlight w:val="none"/>
          <w:lang w:val="en-US" w:eastAsia="zh-CN"/>
        </w:rPr>
        <w:t>0.24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文化旅游体育与传媒支出</w:t>
      </w:r>
      <w:r>
        <w:rPr>
          <w:rFonts w:hint="eastAsia" w:ascii="仿宋_GB2312" w:hAnsi="仿宋_GB2312" w:cs="仿宋_GB2312"/>
          <w:b/>
          <w:bCs/>
          <w:color w:val="auto"/>
          <w:sz w:val="32"/>
          <w:szCs w:val="32"/>
          <w:highlight w:val="none"/>
          <w:lang w:val="en-US" w:eastAsia="zh-CN"/>
        </w:rPr>
        <w:t>0</w:t>
      </w:r>
      <w:r>
        <w:rPr>
          <w:rFonts w:hint="eastAsia" w:ascii="仿宋_GB2312" w:hAnsi="仿宋_GB2312" w:eastAsia="仿宋_GB2312" w:cs="仿宋_GB2312"/>
          <w:b/>
          <w:bCs/>
          <w:color w:val="auto"/>
          <w:sz w:val="32"/>
          <w:szCs w:val="32"/>
          <w:highlight w:val="none"/>
        </w:rPr>
        <w:t>万元，占</w:t>
      </w:r>
      <w:r>
        <w:rPr>
          <w:rFonts w:hint="eastAsia" w:ascii="仿宋_GB2312" w:hAnsi="仿宋_GB2312" w:cs="仿宋_GB2312"/>
          <w:b/>
          <w:bCs/>
          <w:color w:val="auto"/>
          <w:sz w:val="32"/>
          <w:szCs w:val="32"/>
          <w:highlight w:val="none"/>
          <w:lang w:val="en-US" w:eastAsia="zh-CN"/>
        </w:rPr>
        <w:t>0</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color w:val="auto"/>
          <w:sz w:val="32"/>
          <w:szCs w:val="32"/>
          <w:highlight w:val="none"/>
        </w:rPr>
        <w:t>社会保障和就业</w:t>
      </w:r>
      <w:r>
        <w:rPr>
          <w:rFonts w:hint="eastAsia" w:ascii="仿宋_GB2312" w:hAnsi="仿宋_GB2312" w:eastAsia="仿宋_GB2312" w:cs="仿宋_GB2312"/>
          <w:b/>
          <w:bCs/>
          <w:color w:val="auto"/>
          <w:sz w:val="32"/>
          <w:szCs w:val="32"/>
          <w:highlight w:val="none"/>
        </w:rPr>
        <w:t>支出</w:t>
      </w:r>
      <w:r>
        <w:rPr>
          <w:rFonts w:hint="eastAsia" w:ascii="仿宋_GB2312" w:hAnsi="仿宋_GB2312" w:cs="仿宋_GB2312"/>
          <w:color w:val="auto"/>
          <w:sz w:val="32"/>
          <w:szCs w:val="32"/>
          <w:highlight w:val="none"/>
          <w:lang w:val="en-US" w:eastAsia="zh-CN"/>
        </w:rPr>
        <w:t>317.73</w:t>
      </w:r>
      <w:r>
        <w:rPr>
          <w:rFonts w:hint="eastAsia" w:ascii="仿宋_GB2312" w:hAnsi="仿宋_GB2312" w:eastAsia="仿宋_GB2312" w:cs="仿宋_GB2312"/>
          <w:color w:val="auto"/>
          <w:sz w:val="32"/>
          <w:szCs w:val="32"/>
          <w:highlight w:val="none"/>
        </w:rPr>
        <w:t>万元，占</w:t>
      </w:r>
      <w:r>
        <w:rPr>
          <w:rFonts w:hint="eastAsia" w:ascii="仿宋_GB2312" w:hAnsi="仿宋_GB2312" w:cs="仿宋_GB2312"/>
          <w:color w:val="auto"/>
          <w:sz w:val="32"/>
          <w:szCs w:val="32"/>
          <w:highlight w:val="none"/>
          <w:lang w:val="en-US" w:eastAsia="zh-CN"/>
        </w:rPr>
        <w:t>33.62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卫生健康支出</w:t>
      </w:r>
      <w:r>
        <w:rPr>
          <w:rFonts w:hint="eastAsia" w:ascii="仿宋_GB2312" w:hAnsi="仿宋_GB2312" w:cs="仿宋_GB2312"/>
          <w:color w:val="auto"/>
          <w:sz w:val="32"/>
          <w:szCs w:val="32"/>
          <w:highlight w:val="none"/>
          <w:lang w:val="en-US" w:eastAsia="zh-CN"/>
        </w:rPr>
        <w:t>624.99</w:t>
      </w:r>
      <w:r>
        <w:rPr>
          <w:rFonts w:hint="eastAsia" w:ascii="仿宋_GB2312" w:hAnsi="仿宋_GB2312" w:eastAsia="仿宋_GB2312" w:cs="仿宋_GB2312"/>
          <w:color w:val="auto"/>
          <w:sz w:val="32"/>
          <w:szCs w:val="32"/>
          <w:highlight w:val="none"/>
        </w:rPr>
        <w:t>万元，占</w:t>
      </w:r>
      <w:r>
        <w:rPr>
          <w:rFonts w:hint="eastAsia" w:ascii="仿宋_GB2312" w:hAnsi="仿宋_GB2312" w:cs="仿宋_GB2312"/>
          <w:color w:val="auto"/>
          <w:sz w:val="32"/>
          <w:szCs w:val="32"/>
          <w:highlight w:val="none"/>
          <w:lang w:val="en-US" w:eastAsia="zh-CN"/>
        </w:rPr>
        <w:t>66.14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住房保障支出</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pPr>
        <w:spacing w:line="600" w:lineRule="exact"/>
        <w:ind w:firstLine="640"/>
        <w:rPr>
          <w:rFonts w:ascii="仿宋" w:hAnsi="仿宋" w:eastAsia="仿宋"/>
          <w:color w:val="000000"/>
          <w:sz w:val="32"/>
          <w:szCs w:val="32"/>
        </w:rPr>
      </w:pPr>
      <w:r>
        <w:drawing>
          <wp:anchor distT="0" distB="0" distL="114300" distR="114300" simplePos="0" relativeHeight="251662336" behindDoc="0" locked="0" layoutInCell="1" allowOverlap="1">
            <wp:simplePos x="0" y="0"/>
            <wp:positionH relativeFrom="column">
              <wp:posOffset>66675</wp:posOffset>
            </wp:positionH>
            <wp:positionV relativeFrom="paragraph">
              <wp:posOffset>155575</wp:posOffset>
            </wp:positionV>
            <wp:extent cx="4581525" cy="2553335"/>
            <wp:effectExtent l="0" t="0" r="9525" b="18415"/>
            <wp:wrapNone/>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10"/>
                    <a:stretch>
                      <a:fillRect/>
                    </a:stretch>
                  </pic:blipFill>
                  <pic:spPr>
                    <a:xfrm>
                      <a:off x="0" y="0"/>
                      <a:ext cx="4581525" cy="2553335"/>
                    </a:xfrm>
                    <a:prstGeom prst="rect">
                      <a:avLst/>
                    </a:prstGeom>
                    <a:noFill/>
                    <a:ln>
                      <a:noFill/>
                    </a:ln>
                  </pic:spPr>
                </pic:pic>
              </a:graphicData>
            </a:graphic>
          </wp:anchor>
        </w:drawing>
      </w:r>
    </w:p>
    <w:p>
      <w:pPr>
        <w:pStyle w:val="2"/>
        <w:rPr>
          <w:rFonts w:ascii="仿宋" w:hAnsi="仿宋" w:eastAsia="仿宋"/>
          <w:color w:val="000000"/>
          <w:sz w:val="32"/>
          <w:szCs w:val="32"/>
        </w:rPr>
      </w:pPr>
    </w:p>
    <w:p>
      <w:pPr>
        <w:pStyle w:val="2"/>
        <w:rPr>
          <w:rFonts w:ascii="仿宋" w:hAnsi="仿宋" w:eastAsia="仿宋"/>
          <w:color w:val="000000"/>
          <w:sz w:val="32"/>
          <w:szCs w:val="32"/>
        </w:rPr>
      </w:pPr>
    </w:p>
    <w:p>
      <w:pPr>
        <w:pStyle w:val="2"/>
        <w:rPr>
          <w:rFonts w:ascii="仿宋" w:hAnsi="仿宋" w:eastAsia="仿宋"/>
          <w:color w:val="000000"/>
          <w:sz w:val="32"/>
          <w:szCs w:val="32"/>
        </w:rPr>
      </w:pPr>
    </w:p>
    <w:p>
      <w:pPr>
        <w:pStyle w:val="2"/>
        <w:jc w:val="center"/>
        <w:rPr>
          <w:rFonts w:ascii="仿宋" w:hAnsi="仿宋" w:eastAsia="仿宋"/>
          <w:color w:val="000000"/>
          <w:sz w:val="32"/>
          <w:szCs w:val="32"/>
        </w:rPr>
      </w:pPr>
    </w:p>
    <w:p>
      <w:pPr>
        <w:pStyle w:val="2"/>
        <w:rPr>
          <w:rFonts w:ascii="仿宋" w:hAnsi="仿宋" w:eastAsia="仿宋"/>
          <w:color w:val="000000"/>
          <w:sz w:val="32"/>
          <w:szCs w:val="32"/>
        </w:rPr>
      </w:pPr>
    </w:p>
    <w:p>
      <w:pPr>
        <w:pStyle w:val="2"/>
        <w:rPr>
          <w:rFonts w:ascii="仿宋" w:hAnsi="仿宋" w:eastAsia="仿宋"/>
          <w:color w:val="000000"/>
          <w:sz w:val="32"/>
          <w:szCs w:val="32"/>
        </w:rPr>
      </w:pPr>
    </w:p>
    <w:p>
      <w:pPr>
        <w:spacing w:line="6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（图6：一般公共预算财政拨款支出决算结构）（饼状图）</w:t>
      </w:r>
    </w:p>
    <w:p>
      <w:pPr>
        <w:spacing w:line="600" w:lineRule="exact"/>
        <w:ind w:firstLine="643" w:firstLineChars="200"/>
        <w:outlineLvl w:val="2"/>
        <w:rPr>
          <w:rFonts w:ascii="仿宋" w:hAnsi="仿宋" w:eastAsia="仿宋"/>
          <w:b/>
          <w:color w:val="000000"/>
          <w:sz w:val="32"/>
          <w:szCs w:val="32"/>
        </w:rPr>
      </w:pPr>
      <w:bookmarkStart w:id="29" w:name="_Toc15377212"/>
      <w:r>
        <w:rPr>
          <w:rFonts w:hint="eastAsia" w:ascii="仿宋" w:hAnsi="仿宋" w:eastAsia="仿宋"/>
          <w:b/>
          <w:color w:val="000000"/>
          <w:sz w:val="32"/>
          <w:szCs w:val="32"/>
        </w:rPr>
        <w:t>（三</w:t>
      </w:r>
      <w:r>
        <w:rPr>
          <w:rFonts w:hint="eastAsia" w:ascii="仿宋" w:hAnsi="仿宋" w:eastAsia="仿宋"/>
          <w:b/>
          <w:color w:val="000000"/>
          <w:sz w:val="32"/>
          <w:szCs w:val="32"/>
          <w:highlight w:val="none"/>
        </w:rPr>
        <w:t>）一般公共预算财政拨款支出决算</w:t>
      </w:r>
      <w:r>
        <w:rPr>
          <w:rFonts w:hint="eastAsia" w:ascii="仿宋" w:hAnsi="仿宋" w:eastAsia="仿宋"/>
          <w:b/>
          <w:color w:val="000000"/>
          <w:sz w:val="32"/>
          <w:szCs w:val="32"/>
        </w:rPr>
        <w:t>具体情况</w:t>
      </w:r>
      <w:bookmarkEnd w:id="29"/>
    </w:p>
    <w:p>
      <w:pPr>
        <w:spacing w:line="600" w:lineRule="exact"/>
        <w:ind w:firstLine="643" w:firstLineChars="200"/>
        <w:outlineLvl w:val="2"/>
        <w:rPr>
          <w:rFonts w:hint="eastAsia" w:ascii="仿宋_GB2312" w:hAnsi="仿宋_GB2312" w:eastAsia="仿宋_GB2312" w:cs="仿宋_GB2312"/>
          <w:color w:val="auto"/>
          <w:sz w:val="32"/>
          <w:szCs w:val="32"/>
          <w:highlight w:val="none"/>
        </w:rPr>
      </w:pPr>
      <w:bookmarkStart w:id="30" w:name="_Toc15377444"/>
      <w:bookmarkStart w:id="31" w:name="_Toc15378460"/>
      <w:bookmarkStart w:id="32" w:name="_Toc15377213"/>
      <w:r>
        <w:rPr>
          <w:rFonts w:hint="eastAsia" w:ascii="仿宋_GB2312" w:hAnsi="仿宋_GB2312" w:eastAsia="仿宋_GB2312" w:cs="仿宋_GB2312"/>
          <w:b/>
          <w:color w:val="auto"/>
          <w:sz w:val="32"/>
          <w:szCs w:val="32"/>
          <w:highlight w:val="none"/>
        </w:rPr>
        <w:t>20</w:t>
      </w:r>
      <w:r>
        <w:rPr>
          <w:rFonts w:hint="eastAsia" w:ascii="仿宋_GB2312" w:hAnsi="仿宋_GB2312" w:eastAsia="仿宋_GB2312" w:cs="仿宋_GB2312"/>
          <w:b/>
          <w:color w:val="auto"/>
          <w:sz w:val="32"/>
          <w:szCs w:val="32"/>
          <w:highlight w:val="none"/>
          <w:lang w:val="en-US" w:eastAsia="zh-CN"/>
        </w:rPr>
        <w:t>22</w:t>
      </w:r>
      <w:r>
        <w:rPr>
          <w:rFonts w:hint="eastAsia" w:ascii="仿宋_GB2312" w:hAnsi="仿宋_GB2312" w:eastAsia="仿宋_GB2312" w:cs="仿宋_GB2312"/>
          <w:b/>
          <w:color w:val="auto"/>
          <w:sz w:val="32"/>
          <w:szCs w:val="32"/>
          <w:highlight w:val="none"/>
        </w:rPr>
        <w:t>年</w:t>
      </w:r>
      <w:r>
        <w:rPr>
          <w:rFonts w:hint="eastAsia" w:ascii="仿宋_GB2312" w:hAnsi="仿宋_GB2312" w:eastAsia="仿宋_GB2312" w:cs="仿宋_GB2312"/>
          <w:b/>
          <w:color w:val="auto"/>
          <w:sz w:val="32"/>
          <w:szCs w:val="32"/>
          <w:highlight w:val="none"/>
          <w:lang w:eastAsia="zh-CN"/>
        </w:rPr>
        <w:t>一</w:t>
      </w:r>
      <w:r>
        <w:rPr>
          <w:rFonts w:hint="eastAsia" w:ascii="仿宋_GB2312" w:hAnsi="仿宋_GB2312" w:eastAsia="仿宋_GB2312" w:cs="仿宋_GB2312"/>
          <w:b/>
          <w:color w:val="auto"/>
          <w:sz w:val="32"/>
          <w:szCs w:val="32"/>
          <w:highlight w:val="none"/>
        </w:rPr>
        <w:t>般公共预算支出决算数为</w:t>
      </w:r>
      <w:r>
        <w:rPr>
          <w:rFonts w:hint="eastAsia" w:ascii="仿宋_GB2312" w:hAnsi="仿宋_GB2312" w:eastAsia="仿宋_GB2312" w:cs="仿宋_GB2312"/>
          <w:b/>
          <w:color w:val="auto"/>
          <w:sz w:val="32"/>
          <w:szCs w:val="32"/>
          <w:highlight w:val="none"/>
          <w:lang w:val="en-US" w:eastAsia="zh-CN"/>
        </w:rPr>
        <w:t>945.01万元</w:t>
      </w:r>
      <w:r>
        <w:rPr>
          <w:rFonts w:hint="eastAsia" w:ascii="仿宋_GB2312" w:hAnsi="仿宋_GB2312" w:eastAsia="仿宋_GB2312" w:cs="仿宋_GB2312"/>
          <w:color w:val="auto"/>
          <w:sz w:val="32"/>
          <w:szCs w:val="32"/>
          <w:highlight w:val="none"/>
        </w:rPr>
        <w:t>，</w:t>
      </w:r>
      <w:r>
        <w:rPr>
          <w:rStyle w:val="15"/>
          <w:rFonts w:hint="eastAsia" w:ascii="仿宋_GB2312" w:hAnsi="仿宋_GB2312" w:eastAsia="仿宋_GB2312" w:cs="仿宋_GB2312"/>
          <w:bCs/>
          <w:color w:val="auto"/>
          <w:sz w:val="32"/>
          <w:szCs w:val="32"/>
          <w:highlight w:val="none"/>
        </w:rPr>
        <w:t>完成预算</w:t>
      </w:r>
      <w:r>
        <w:rPr>
          <w:rStyle w:val="15"/>
          <w:rFonts w:hint="eastAsia" w:ascii="仿宋_GB2312" w:hAnsi="仿宋_GB2312" w:cs="仿宋_GB2312"/>
          <w:bCs/>
          <w:color w:val="auto"/>
          <w:sz w:val="32"/>
          <w:szCs w:val="32"/>
          <w:highlight w:val="none"/>
          <w:lang w:val="en-US" w:eastAsia="zh-CN"/>
        </w:rPr>
        <w:t>100</w:t>
      </w:r>
      <w:r>
        <w:rPr>
          <w:rStyle w:val="15"/>
          <w:rFonts w:hint="eastAsia" w:ascii="仿宋_GB2312" w:hAnsi="仿宋_GB2312" w:eastAsia="仿宋_GB2312" w:cs="仿宋_GB2312"/>
          <w:bCs/>
          <w:color w:val="auto"/>
          <w:sz w:val="32"/>
          <w:szCs w:val="32"/>
          <w:highlight w:val="none"/>
        </w:rPr>
        <w:t>%。其中：</w:t>
      </w:r>
      <w:bookmarkEnd w:id="30"/>
      <w:bookmarkEnd w:id="31"/>
      <w:bookmarkEnd w:id="32"/>
    </w:p>
    <w:p>
      <w:pPr>
        <w:spacing w:line="600" w:lineRule="exact"/>
        <w:ind w:firstLine="643" w:firstLineChars="200"/>
        <w:rPr>
          <w:rFonts w:hint="eastAsia" w:ascii="仿宋_GB2312" w:hAnsi="仿宋_GB2312" w:eastAsia="仿宋_GB2312" w:cs="仿宋_GB2312"/>
          <w:b/>
          <w:color w:val="auto"/>
          <w:sz w:val="32"/>
          <w:szCs w:val="32"/>
          <w:highlight w:val="none"/>
        </w:rPr>
      </w:pPr>
      <w:r>
        <w:rPr>
          <w:rStyle w:val="15"/>
          <w:rFonts w:hint="eastAsia" w:ascii="仿宋_GB2312" w:hAnsi="仿宋_GB2312" w:eastAsia="仿宋_GB2312" w:cs="仿宋_GB2312"/>
          <w:bCs/>
          <w:color w:val="auto"/>
          <w:sz w:val="32"/>
          <w:szCs w:val="32"/>
          <w:highlight w:val="none"/>
        </w:rPr>
        <w:t>1.一般公共服务（类）</w:t>
      </w:r>
      <w:r>
        <w:rPr>
          <w:rStyle w:val="15"/>
          <w:rFonts w:hint="eastAsia" w:ascii="仿宋" w:hAnsi="仿宋" w:eastAsia="仿宋"/>
          <w:bCs/>
          <w:color w:val="000000"/>
          <w:szCs w:val="32"/>
        </w:rPr>
        <w:t>其他一般公共服务支出</w:t>
      </w:r>
      <w:r>
        <w:rPr>
          <w:rStyle w:val="15"/>
          <w:rFonts w:hint="eastAsia" w:ascii="仿宋_GB2312" w:hAnsi="仿宋_GB2312" w:eastAsia="仿宋_GB2312" w:cs="仿宋_GB2312"/>
          <w:bCs/>
          <w:color w:val="auto"/>
          <w:sz w:val="32"/>
          <w:szCs w:val="32"/>
          <w:highlight w:val="none"/>
        </w:rPr>
        <w:t>（款）</w:t>
      </w:r>
      <w:r>
        <w:rPr>
          <w:rStyle w:val="15"/>
          <w:rFonts w:hint="eastAsia" w:ascii="仿宋" w:hAnsi="仿宋" w:eastAsia="仿宋"/>
          <w:bCs/>
          <w:color w:val="000000"/>
          <w:szCs w:val="32"/>
        </w:rPr>
        <w:t>其他一般公共服务支出</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 w:val="0"/>
          <w:bCs/>
          <w:color w:val="auto"/>
          <w:sz w:val="32"/>
          <w:szCs w:val="32"/>
          <w:highlight w:val="none"/>
        </w:rPr>
        <w:t xml:space="preserve"> 支出决算为</w:t>
      </w:r>
      <w:r>
        <w:rPr>
          <w:rStyle w:val="15"/>
          <w:rFonts w:hint="eastAsia" w:ascii="仿宋_GB2312" w:hAnsi="仿宋_GB2312" w:cs="仿宋_GB2312"/>
          <w:b w:val="0"/>
          <w:bCs/>
          <w:color w:val="auto"/>
          <w:sz w:val="32"/>
          <w:szCs w:val="32"/>
          <w:highlight w:val="none"/>
          <w:lang w:val="en-US" w:eastAsia="zh-CN"/>
        </w:rPr>
        <w:t>0</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cs="仿宋_GB2312"/>
          <w:b w:val="0"/>
          <w:bCs/>
          <w:color w:val="auto"/>
          <w:sz w:val="32"/>
          <w:szCs w:val="32"/>
          <w:highlight w:val="none"/>
          <w:lang w:val="en-US" w:eastAsia="zh-CN"/>
        </w:rPr>
        <w:t>0</w:t>
      </w:r>
      <w:r>
        <w:rPr>
          <w:rStyle w:val="15"/>
          <w:rFonts w:hint="eastAsia" w:ascii="仿宋_GB2312" w:hAnsi="仿宋_GB2312" w:eastAsia="仿宋_GB2312" w:cs="仿宋_GB2312"/>
          <w:b w:val="0"/>
          <w:bCs/>
          <w:color w:val="auto"/>
          <w:sz w:val="32"/>
          <w:szCs w:val="32"/>
          <w:highlight w:val="none"/>
        </w:rPr>
        <w:t>%。</w:t>
      </w:r>
    </w:p>
    <w:p>
      <w:pPr>
        <w:spacing w:line="600" w:lineRule="exact"/>
        <w:ind w:firstLine="643" w:firstLineChars="200"/>
        <w:rPr>
          <w:rFonts w:hint="eastAsia" w:ascii="仿宋_GB2312" w:hAnsi="仿宋_GB2312" w:eastAsia="仿宋_GB2312" w:cs="仿宋_GB2312"/>
          <w:b/>
          <w:color w:val="auto"/>
          <w:sz w:val="32"/>
          <w:szCs w:val="32"/>
          <w:highlight w:val="none"/>
        </w:rPr>
      </w:pPr>
      <w:r>
        <w:rPr>
          <w:rStyle w:val="15"/>
          <w:rFonts w:hint="eastAsia" w:ascii="仿宋_GB2312" w:hAnsi="仿宋_GB2312" w:cs="仿宋_GB2312"/>
          <w:bCs/>
          <w:color w:val="auto"/>
          <w:sz w:val="32"/>
          <w:szCs w:val="32"/>
          <w:highlight w:val="none"/>
          <w:lang w:val="en-US" w:eastAsia="zh-CN"/>
        </w:rPr>
        <w:t>2</w:t>
      </w:r>
      <w:r>
        <w:rPr>
          <w:rStyle w:val="15"/>
          <w:rFonts w:hint="eastAsia" w:ascii="仿宋_GB2312" w:hAnsi="仿宋_GB2312" w:eastAsia="仿宋_GB2312" w:cs="仿宋_GB2312"/>
          <w:bCs/>
          <w:color w:val="auto"/>
          <w:sz w:val="32"/>
          <w:szCs w:val="32"/>
          <w:highlight w:val="none"/>
        </w:rPr>
        <w:t>.科学技术（类）科技重大项目（款）重点研发计划（项）:</w:t>
      </w:r>
      <w:r>
        <w:rPr>
          <w:rStyle w:val="15"/>
          <w:rFonts w:hint="eastAsia" w:ascii="仿宋_GB2312" w:hAnsi="仿宋_GB2312" w:eastAsia="仿宋_GB2312" w:cs="仿宋_GB2312"/>
          <w:b w:val="0"/>
          <w:bCs/>
          <w:color w:val="auto"/>
          <w:sz w:val="32"/>
          <w:szCs w:val="32"/>
          <w:highlight w:val="none"/>
        </w:rPr>
        <w:t xml:space="preserve"> 支出决算为</w:t>
      </w:r>
      <w:r>
        <w:rPr>
          <w:rStyle w:val="15"/>
          <w:rFonts w:hint="eastAsia" w:ascii="仿宋_GB2312" w:hAnsi="仿宋_GB2312" w:cs="仿宋_GB2312"/>
          <w:b w:val="0"/>
          <w:bCs/>
          <w:color w:val="auto"/>
          <w:sz w:val="32"/>
          <w:szCs w:val="32"/>
          <w:highlight w:val="none"/>
          <w:lang w:val="en-US" w:eastAsia="zh-CN"/>
        </w:rPr>
        <w:t>2.29</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cs="仿宋_GB2312"/>
          <w:b w:val="0"/>
          <w:bCs/>
          <w:color w:val="auto"/>
          <w:sz w:val="32"/>
          <w:szCs w:val="32"/>
          <w:highlight w:val="none"/>
          <w:lang w:val="en-US" w:eastAsia="zh-CN"/>
        </w:rPr>
        <w:t>18.51</w:t>
      </w:r>
      <w:r>
        <w:rPr>
          <w:rStyle w:val="15"/>
          <w:rFonts w:hint="eastAsia" w:ascii="仿宋_GB2312" w:hAnsi="仿宋_GB2312" w:eastAsia="仿宋_GB2312" w:cs="仿宋_GB2312"/>
          <w:b w:val="0"/>
          <w:bCs/>
          <w:color w:val="auto"/>
          <w:sz w:val="32"/>
          <w:szCs w:val="32"/>
          <w:highlight w:val="none"/>
        </w:rPr>
        <w:t>%，决算数小于预算数的主要原因是</w:t>
      </w:r>
      <w:r>
        <w:rPr>
          <w:rStyle w:val="15"/>
          <w:rFonts w:hint="eastAsia" w:ascii="仿宋_GB2312" w:hAnsi="仿宋_GB2312" w:cs="仿宋_GB2312"/>
          <w:b w:val="0"/>
          <w:bCs/>
          <w:color w:val="auto"/>
          <w:sz w:val="32"/>
          <w:szCs w:val="32"/>
          <w:highlight w:val="none"/>
          <w:lang w:val="en-US" w:eastAsia="zh-CN"/>
        </w:rPr>
        <w:t>还有多个科研项目未结题</w:t>
      </w:r>
      <w:r>
        <w:rPr>
          <w:rStyle w:val="15"/>
          <w:rFonts w:hint="eastAsia" w:ascii="仿宋_GB2312" w:hAnsi="仿宋_GB2312" w:eastAsia="仿宋_GB2312" w:cs="仿宋_GB2312"/>
          <w:b w:val="0"/>
          <w:bCs/>
          <w:color w:val="auto"/>
          <w:sz w:val="32"/>
          <w:szCs w:val="32"/>
          <w:highlight w:val="none"/>
        </w:rPr>
        <w:t>。</w:t>
      </w:r>
    </w:p>
    <w:p>
      <w:pPr>
        <w:spacing w:line="600" w:lineRule="exact"/>
        <w:ind w:firstLine="643" w:firstLineChars="200"/>
        <w:rPr>
          <w:rStyle w:val="15"/>
          <w:rFonts w:hint="eastAsia" w:ascii="仿宋_GB2312" w:hAnsi="仿宋_GB2312" w:eastAsia="仿宋_GB2312" w:cs="仿宋_GB2312"/>
          <w:b w:val="0"/>
          <w:bCs/>
          <w:color w:val="auto"/>
          <w:sz w:val="32"/>
          <w:szCs w:val="32"/>
          <w:highlight w:val="none"/>
        </w:rPr>
      </w:pPr>
      <w:r>
        <w:rPr>
          <w:rStyle w:val="15"/>
          <w:rFonts w:hint="eastAsia" w:ascii="仿宋_GB2312" w:hAnsi="仿宋_GB2312" w:cs="仿宋_GB2312"/>
          <w:bCs/>
          <w:color w:val="auto"/>
          <w:sz w:val="32"/>
          <w:szCs w:val="32"/>
          <w:highlight w:val="none"/>
          <w:lang w:val="en-US" w:eastAsia="zh-CN"/>
        </w:rPr>
        <w:t>3</w:t>
      </w:r>
      <w:r>
        <w:rPr>
          <w:rStyle w:val="15"/>
          <w:rFonts w:hint="eastAsia" w:ascii="仿宋_GB2312" w:hAnsi="仿宋_GB2312" w:eastAsia="仿宋_GB2312" w:cs="仿宋_GB2312"/>
          <w:bCs/>
          <w:color w:val="auto"/>
          <w:sz w:val="32"/>
          <w:szCs w:val="32"/>
          <w:highlight w:val="none"/>
        </w:rPr>
        <w:t>.社会保障和就业（类）行政事业单位养老支出（款）事业单位离退休（项）:</w:t>
      </w:r>
      <w:r>
        <w:rPr>
          <w:rStyle w:val="15"/>
          <w:rFonts w:hint="eastAsia" w:ascii="仿宋_GB2312" w:hAnsi="仿宋_GB2312" w:eastAsia="仿宋_GB2312" w:cs="仿宋_GB2312"/>
          <w:b w:val="0"/>
          <w:bCs/>
          <w:color w:val="auto"/>
          <w:sz w:val="32"/>
          <w:szCs w:val="32"/>
          <w:highlight w:val="none"/>
        </w:rPr>
        <w:t xml:space="preserve"> 支出决算为</w:t>
      </w:r>
      <w:r>
        <w:rPr>
          <w:rStyle w:val="15"/>
          <w:rFonts w:hint="eastAsia" w:ascii="仿宋_GB2312" w:hAnsi="仿宋_GB2312" w:cs="仿宋_GB2312"/>
          <w:b w:val="0"/>
          <w:bCs/>
          <w:color w:val="auto"/>
          <w:sz w:val="32"/>
          <w:szCs w:val="32"/>
          <w:highlight w:val="none"/>
          <w:lang w:val="en-US" w:eastAsia="zh-CN"/>
        </w:rPr>
        <w:t>56.73</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%，决算数等于预算数。</w:t>
      </w:r>
    </w:p>
    <w:p>
      <w:pPr>
        <w:pStyle w:val="2"/>
        <w:rPr>
          <w:rFonts w:hint="default" w:eastAsia="仿宋_GB2312"/>
          <w:lang w:val="en-US" w:eastAsia="zh-CN"/>
        </w:rPr>
      </w:pPr>
      <w:r>
        <w:rPr>
          <w:rFonts w:hint="eastAsia"/>
          <w:lang w:val="en-US" w:eastAsia="zh-CN"/>
        </w:rPr>
        <w:t xml:space="preserve">       </w:t>
      </w:r>
      <w:r>
        <w:rPr>
          <w:rStyle w:val="15"/>
          <w:rFonts w:hint="eastAsia" w:ascii="仿宋_GB2312" w:hAnsi="仿宋_GB2312" w:eastAsia="仿宋_GB2312" w:cs="仿宋_GB2312"/>
          <w:bCs/>
          <w:color w:val="auto"/>
          <w:sz w:val="32"/>
          <w:szCs w:val="32"/>
          <w:highlight w:val="none"/>
        </w:rPr>
        <w:t>社会保障和就业（类）行政事业单位养老支出（款）机关事业单位基本养老保险缴费支出（项）:</w:t>
      </w:r>
      <w:r>
        <w:rPr>
          <w:rStyle w:val="15"/>
          <w:rFonts w:hint="eastAsia" w:ascii="仿宋_GB2312" w:hAnsi="仿宋_GB2312" w:eastAsia="仿宋_GB2312" w:cs="仿宋_GB2312"/>
          <w:b w:val="0"/>
          <w:bCs/>
          <w:color w:val="auto"/>
          <w:sz w:val="32"/>
          <w:szCs w:val="32"/>
          <w:highlight w:val="none"/>
        </w:rPr>
        <w:t xml:space="preserve"> 支出决算为</w:t>
      </w:r>
      <w:r>
        <w:rPr>
          <w:rStyle w:val="15"/>
          <w:rFonts w:hint="eastAsia" w:hAnsi="仿宋_GB2312" w:cs="仿宋_GB2312"/>
          <w:b w:val="0"/>
          <w:bCs/>
          <w:color w:val="auto"/>
          <w:sz w:val="32"/>
          <w:szCs w:val="32"/>
          <w:highlight w:val="none"/>
          <w:lang w:val="en-US" w:eastAsia="zh-CN"/>
        </w:rPr>
        <w:t>261</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hAnsi="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%，决算数等于预算数。</w:t>
      </w:r>
    </w:p>
    <w:p>
      <w:pPr>
        <w:spacing w:line="600" w:lineRule="exact"/>
        <w:ind w:firstLine="643" w:firstLineChars="200"/>
        <w:rPr>
          <w:rFonts w:hint="eastAsia" w:ascii="仿宋_GB2312" w:hAnsi="仿宋_GB2312" w:eastAsia="仿宋_GB2312" w:cs="仿宋_GB2312"/>
          <w:b/>
          <w:color w:val="auto"/>
          <w:sz w:val="32"/>
          <w:szCs w:val="32"/>
          <w:highlight w:val="none"/>
        </w:rPr>
      </w:pPr>
      <w:r>
        <w:rPr>
          <w:rStyle w:val="15"/>
          <w:rFonts w:hint="eastAsia" w:ascii="仿宋_GB2312" w:hAnsi="仿宋_GB2312" w:cs="仿宋_GB2312"/>
          <w:bCs/>
          <w:color w:val="auto"/>
          <w:sz w:val="32"/>
          <w:szCs w:val="32"/>
          <w:highlight w:val="none"/>
          <w:lang w:val="en-US" w:eastAsia="zh-CN"/>
        </w:rPr>
        <w:t>4</w:t>
      </w:r>
      <w:r>
        <w:rPr>
          <w:rStyle w:val="15"/>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bCs/>
          <w:color w:val="auto"/>
          <w:sz w:val="32"/>
          <w:szCs w:val="32"/>
          <w:highlight w:val="none"/>
        </w:rPr>
        <w:t>卫生健康</w:t>
      </w:r>
      <w:r>
        <w:rPr>
          <w:rStyle w:val="15"/>
          <w:rFonts w:hint="eastAsia" w:ascii="仿宋_GB2312" w:hAnsi="仿宋_GB2312" w:eastAsia="仿宋_GB2312" w:cs="仿宋_GB2312"/>
          <w:bCs/>
          <w:color w:val="auto"/>
          <w:sz w:val="32"/>
          <w:szCs w:val="32"/>
          <w:highlight w:val="none"/>
        </w:rPr>
        <w:t>（类）公立医院（款）综合医院（项）:</w:t>
      </w:r>
      <w:r>
        <w:rPr>
          <w:rStyle w:val="15"/>
          <w:rFonts w:hint="eastAsia" w:ascii="仿宋_GB2312" w:hAnsi="仿宋_GB2312" w:eastAsia="仿宋_GB2312" w:cs="仿宋_GB2312"/>
          <w:b w:val="0"/>
          <w:bCs/>
          <w:color w:val="auto"/>
          <w:sz w:val="32"/>
          <w:szCs w:val="32"/>
          <w:highlight w:val="none"/>
        </w:rPr>
        <w:t>支出决算为</w:t>
      </w:r>
      <w:r>
        <w:rPr>
          <w:rStyle w:val="15"/>
          <w:rFonts w:hint="eastAsia" w:ascii="仿宋_GB2312" w:hAnsi="仿宋_GB2312" w:cs="仿宋_GB2312"/>
          <w:b w:val="0"/>
          <w:bCs/>
          <w:color w:val="auto"/>
          <w:sz w:val="32"/>
          <w:szCs w:val="32"/>
          <w:highlight w:val="none"/>
          <w:lang w:val="en-US" w:eastAsia="zh-CN"/>
        </w:rPr>
        <w:t>425.01</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%，决算数</w:t>
      </w:r>
      <w:r>
        <w:rPr>
          <w:rStyle w:val="15"/>
          <w:rFonts w:hint="eastAsia" w:ascii="仿宋_GB2312" w:hAnsi="仿宋_GB2312" w:cs="仿宋_GB2312"/>
          <w:b w:val="0"/>
          <w:bCs/>
          <w:color w:val="auto"/>
          <w:sz w:val="32"/>
          <w:szCs w:val="32"/>
          <w:highlight w:val="none"/>
          <w:lang w:val="en-US" w:eastAsia="zh-CN"/>
        </w:rPr>
        <w:t>等于</w:t>
      </w:r>
      <w:r>
        <w:rPr>
          <w:rStyle w:val="15"/>
          <w:rFonts w:hint="eastAsia" w:ascii="仿宋_GB2312" w:hAnsi="仿宋_GB2312" w:eastAsia="仿宋_GB2312" w:cs="仿宋_GB2312"/>
          <w:b w:val="0"/>
          <w:bCs/>
          <w:color w:val="auto"/>
          <w:sz w:val="32"/>
          <w:szCs w:val="32"/>
          <w:highlight w:val="none"/>
        </w:rPr>
        <w:t>预算数。</w:t>
      </w:r>
    </w:p>
    <w:p>
      <w:pPr>
        <w:spacing w:line="600" w:lineRule="exact"/>
        <w:ind w:firstLine="964" w:firstLineChars="300"/>
        <w:rPr>
          <w:rStyle w:val="15"/>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bCs/>
          <w:color w:val="auto"/>
          <w:sz w:val="32"/>
          <w:szCs w:val="32"/>
          <w:highlight w:val="none"/>
        </w:rPr>
        <w:t>卫生健康</w:t>
      </w:r>
      <w:r>
        <w:rPr>
          <w:rStyle w:val="15"/>
          <w:rFonts w:hint="eastAsia" w:ascii="仿宋_GB2312" w:hAnsi="仿宋_GB2312" w:eastAsia="仿宋_GB2312" w:cs="仿宋_GB2312"/>
          <w:bCs/>
          <w:color w:val="auto"/>
          <w:sz w:val="32"/>
          <w:szCs w:val="32"/>
          <w:highlight w:val="none"/>
        </w:rPr>
        <w:t>（类）公共卫生（款）重大公共卫生服务（项）:</w:t>
      </w:r>
      <w:r>
        <w:rPr>
          <w:rStyle w:val="15"/>
          <w:rFonts w:hint="eastAsia" w:ascii="仿宋_GB2312" w:hAnsi="仿宋_GB2312" w:eastAsia="仿宋_GB2312" w:cs="仿宋_GB2312"/>
          <w:b w:val="0"/>
          <w:bCs/>
          <w:color w:val="auto"/>
          <w:sz w:val="32"/>
          <w:szCs w:val="32"/>
          <w:highlight w:val="none"/>
        </w:rPr>
        <w:t>支出决算为</w:t>
      </w:r>
      <w:r>
        <w:rPr>
          <w:rStyle w:val="15"/>
          <w:rFonts w:hint="eastAsia" w:ascii="仿宋_GB2312" w:hAnsi="仿宋_GB2312" w:cs="仿宋_GB2312"/>
          <w:b w:val="0"/>
          <w:bCs/>
          <w:color w:val="auto"/>
          <w:sz w:val="32"/>
          <w:szCs w:val="32"/>
          <w:highlight w:val="none"/>
          <w:lang w:val="en-US" w:eastAsia="zh-CN"/>
        </w:rPr>
        <w:t>9.44</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%，决算数等于预算数。</w:t>
      </w:r>
    </w:p>
    <w:p>
      <w:pPr>
        <w:spacing w:line="600" w:lineRule="exact"/>
        <w:ind w:firstLine="964" w:firstLineChars="300"/>
        <w:rPr>
          <w:rFonts w:hint="eastAsia"/>
        </w:rPr>
      </w:pPr>
      <w:r>
        <w:rPr>
          <w:rFonts w:hint="eastAsia" w:ascii="仿宋_GB2312" w:hAnsi="仿宋_GB2312" w:eastAsia="仿宋_GB2312" w:cs="仿宋_GB2312"/>
          <w:b/>
          <w:bCs/>
          <w:color w:val="auto"/>
          <w:sz w:val="32"/>
          <w:szCs w:val="32"/>
          <w:highlight w:val="none"/>
        </w:rPr>
        <w:t>卫生健康</w:t>
      </w:r>
      <w:r>
        <w:rPr>
          <w:rStyle w:val="15"/>
          <w:rFonts w:hint="eastAsia" w:ascii="仿宋_GB2312" w:hAnsi="仿宋_GB2312" w:eastAsia="仿宋_GB2312" w:cs="仿宋_GB2312"/>
          <w:bCs/>
          <w:color w:val="auto"/>
          <w:sz w:val="32"/>
          <w:szCs w:val="32"/>
          <w:highlight w:val="none"/>
        </w:rPr>
        <w:t>（类）其他卫生健康支出（款）其他卫生健康支出（项）:</w:t>
      </w:r>
      <w:r>
        <w:rPr>
          <w:rStyle w:val="15"/>
          <w:rFonts w:hint="eastAsia" w:ascii="仿宋_GB2312" w:hAnsi="仿宋_GB2312" w:eastAsia="仿宋_GB2312" w:cs="仿宋_GB2312"/>
          <w:b w:val="0"/>
          <w:bCs/>
          <w:color w:val="auto"/>
          <w:sz w:val="32"/>
          <w:szCs w:val="32"/>
          <w:highlight w:val="none"/>
        </w:rPr>
        <w:t>支出决算为</w:t>
      </w:r>
      <w:r>
        <w:rPr>
          <w:rStyle w:val="15"/>
          <w:rFonts w:hint="eastAsia" w:ascii="仿宋_GB2312" w:hAnsi="仿宋_GB2312" w:cs="仿宋_GB2312"/>
          <w:b w:val="0"/>
          <w:bCs/>
          <w:color w:val="auto"/>
          <w:sz w:val="32"/>
          <w:szCs w:val="32"/>
          <w:highlight w:val="none"/>
          <w:lang w:val="en-US" w:eastAsia="zh-CN"/>
        </w:rPr>
        <w:t>190.54</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cs="仿宋_GB2312"/>
          <w:b w:val="0"/>
          <w:bCs/>
          <w:color w:val="auto"/>
          <w:sz w:val="32"/>
          <w:szCs w:val="32"/>
          <w:highlight w:val="none"/>
          <w:lang w:val="en-US" w:eastAsia="zh-CN"/>
        </w:rPr>
        <w:t>99.74</w:t>
      </w:r>
      <w:r>
        <w:rPr>
          <w:rStyle w:val="15"/>
          <w:rFonts w:hint="eastAsia" w:ascii="仿宋_GB2312" w:hAnsi="仿宋_GB2312" w:eastAsia="仿宋_GB2312" w:cs="仿宋_GB2312"/>
          <w:b w:val="0"/>
          <w:bCs/>
          <w:color w:val="auto"/>
          <w:sz w:val="32"/>
          <w:szCs w:val="32"/>
          <w:highlight w:val="none"/>
        </w:rPr>
        <w:t>%，决算数小于预算数的主要原因是</w:t>
      </w:r>
      <w:r>
        <w:rPr>
          <w:rStyle w:val="15"/>
          <w:rFonts w:hint="eastAsia" w:ascii="仿宋_GB2312" w:hAnsi="仿宋_GB2312" w:cs="仿宋_GB2312"/>
          <w:b w:val="0"/>
          <w:bCs/>
          <w:color w:val="auto"/>
          <w:sz w:val="32"/>
          <w:szCs w:val="32"/>
          <w:highlight w:val="none"/>
          <w:lang w:val="en-US" w:eastAsia="zh-CN"/>
        </w:rPr>
        <w:t>还有以前年度1个科研项目未结题</w:t>
      </w:r>
      <w:r>
        <w:rPr>
          <w:rStyle w:val="15"/>
          <w:rFonts w:hint="eastAsia" w:ascii="仿宋_GB2312" w:hAnsi="仿宋_GB2312" w:eastAsia="仿宋_GB2312" w:cs="仿宋_GB2312"/>
          <w:b w:val="0"/>
          <w:bCs/>
          <w:color w:val="auto"/>
          <w:sz w:val="32"/>
          <w:szCs w:val="32"/>
          <w:highlight w:val="none"/>
        </w:rPr>
        <w:t>。</w:t>
      </w:r>
    </w:p>
    <w:p>
      <w:pPr>
        <w:tabs>
          <w:tab w:val="right" w:pos="8306"/>
        </w:tabs>
        <w:spacing w:line="600" w:lineRule="exact"/>
        <w:ind w:firstLine="640"/>
        <w:outlineLvl w:val="1"/>
        <w:rPr>
          <w:rStyle w:val="19"/>
        </w:rPr>
      </w:pPr>
      <w:bookmarkStart w:id="33" w:name="_Toc15396608"/>
      <w:bookmarkStart w:id="34" w:name="_Toc1432889768"/>
      <w:bookmarkStart w:id="35" w:name="_Toc693483090"/>
      <w:bookmarkStart w:id="36"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9"/>
          <w:rFonts w:hint="eastAsia" w:ascii="黑体" w:hAnsi="黑体" w:eastAsia="黑体"/>
          <w:b w:val="0"/>
        </w:rPr>
        <w:t>般公共预算财政拨款基本支出决算情况说明</w:t>
      </w:r>
      <w:bookmarkEnd w:id="33"/>
      <w:bookmarkEnd w:id="34"/>
      <w:bookmarkEnd w:id="35"/>
      <w:bookmarkEnd w:id="36"/>
      <w:r>
        <w:rPr>
          <w:rStyle w:val="19"/>
          <w:rFonts w:ascii="黑体" w:hAnsi="黑体" w:eastAsia="黑体"/>
          <w:b w:val="0"/>
        </w:rPr>
        <w:tab/>
      </w:r>
    </w:p>
    <w:p>
      <w:pPr>
        <w:spacing w:line="600" w:lineRule="exact"/>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年一般公共预算财政拨款基本支出</w:t>
      </w:r>
      <w:r>
        <w:rPr>
          <w:rFonts w:hint="eastAsia" w:ascii="仿宋_GB2312" w:hAnsi="仿宋_GB2312" w:cs="仿宋_GB2312"/>
          <w:color w:val="auto"/>
          <w:sz w:val="32"/>
          <w:szCs w:val="32"/>
          <w:highlight w:val="none"/>
          <w:lang w:val="en-US" w:eastAsia="zh-CN"/>
        </w:rPr>
        <w:t>319.34</w:t>
      </w:r>
      <w:r>
        <w:rPr>
          <w:rFonts w:hint="eastAsia" w:ascii="仿宋_GB2312" w:hAnsi="仿宋_GB2312" w:eastAsia="仿宋_GB2312" w:cs="仿宋_GB2312"/>
          <w:color w:val="auto"/>
          <w:sz w:val="32"/>
          <w:szCs w:val="32"/>
          <w:highlight w:val="none"/>
        </w:rPr>
        <w:t>万元，其中：</w:t>
      </w:r>
    </w:p>
    <w:p>
      <w:pPr>
        <w:spacing w:line="60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highlight w:val="none"/>
        </w:rPr>
        <w:t>人员经费</w:t>
      </w:r>
      <w:r>
        <w:rPr>
          <w:rFonts w:hint="eastAsia" w:ascii="仿宋_GB2312" w:hAnsi="仿宋_GB2312" w:cs="仿宋_GB2312"/>
          <w:color w:val="auto"/>
          <w:sz w:val="32"/>
          <w:szCs w:val="32"/>
          <w:highlight w:val="none"/>
          <w:lang w:val="en-US" w:eastAsia="zh-CN"/>
        </w:rPr>
        <w:t>316.92</w:t>
      </w:r>
      <w:r>
        <w:rPr>
          <w:rFonts w:hint="eastAsia" w:ascii="仿宋_GB2312" w:hAnsi="仿宋_GB2312" w:eastAsia="仿宋_GB2312" w:cs="仿宋_GB2312"/>
          <w:color w:val="auto"/>
          <w:sz w:val="32"/>
          <w:szCs w:val="32"/>
          <w:highlight w:val="none"/>
        </w:rPr>
        <w:t>万元，主要包括：机关事业单位基本养老保险缴费</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其他工资福利支出、离休费</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其他对个人和家庭的补助支出等。</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　　公用经费</w:t>
      </w:r>
      <w:r>
        <w:rPr>
          <w:rFonts w:hint="eastAsia" w:ascii="仿宋_GB2312" w:hAnsi="仿宋_GB2312" w:cs="仿宋_GB2312"/>
          <w:color w:val="auto"/>
          <w:sz w:val="32"/>
          <w:szCs w:val="32"/>
          <w:highlight w:val="none"/>
          <w:lang w:val="en-US" w:eastAsia="zh-CN"/>
        </w:rPr>
        <w:t>2.42</w:t>
      </w:r>
      <w:r>
        <w:rPr>
          <w:rFonts w:hint="eastAsia" w:ascii="仿宋_GB2312" w:hAnsi="仿宋_GB2312" w:eastAsia="仿宋_GB2312" w:cs="仿宋_GB2312"/>
          <w:color w:val="auto"/>
          <w:sz w:val="32"/>
          <w:szCs w:val="32"/>
          <w:highlight w:val="none"/>
        </w:rPr>
        <w:t>万元，主要包括：其他商品和服务支出。</w:t>
      </w:r>
    </w:p>
    <w:p>
      <w:pPr>
        <w:spacing w:line="600" w:lineRule="exact"/>
        <w:ind w:firstLine="640"/>
        <w:outlineLvl w:val="1"/>
        <w:rPr>
          <w:rStyle w:val="19"/>
          <w:rFonts w:ascii="黑体" w:hAnsi="黑体" w:eastAsia="黑体"/>
          <w:b w:val="0"/>
        </w:rPr>
      </w:pPr>
      <w:bookmarkStart w:id="37" w:name="_Toc15396609"/>
      <w:bookmarkStart w:id="38" w:name="_Toc15377215"/>
      <w:bookmarkStart w:id="39" w:name="_Toc2084050475"/>
      <w:bookmarkStart w:id="40" w:name="_Toc2022165376"/>
      <w:r>
        <w:rPr>
          <w:rFonts w:hint="eastAsia" w:ascii="黑体" w:eastAsia="黑体"/>
          <w:color w:val="000000"/>
          <w:sz w:val="32"/>
          <w:szCs w:val="32"/>
        </w:rPr>
        <w:t>七、</w:t>
      </w:r>
      <w:r>
        <w:rPr>
          <w:rStyle w:val="19"/>
          <w:rFonts w:hint="eastAsia" w:ascii="黑体" w:hAnsi="黑体" w:eastAsia="黑体"/>
        </w:rPr>
        <w:t>“</w:t>
      </w:r>
      <w:r>
        <w:rPr>
          <w:rStyle w:val="19"/>
          <w:rFonts w:hint="eastAsia" w:ascii="黑体" w:hAnsi="黑体" w:eastAsia="黑体"/>
          <w:b w:val="0"/>
        </w:rPr>
        <w:t>三公”经费财政拨款支出决算情况说明</w:t>
      </w:r>
      <w:bookmarkEnd w:id="37"/>
      <w:bookmarkEnd w:id="38"/>
      <w:bookmarkEnd w:id="39"/>
      <w:bookmarkEnd w:id="40"/>
    </w:p>
    <w:p>
      <w:pPr>
        <w:spacing w:line="600" w:lineRule="exact"/>
        <w:ind w:firstLine="640"/>
        <w:outlineLvl w:val="2"/>
        <w:rPr>
          <w:rFonts w:hint="eastAsia" w:ascii="仿宋_GB2312" w:hAnsi="仿宋_GB2312" w:eastAsia="仿宋_GB2312" w:cs="仿宋_GB2312"/>
          <w:b/>
          <w:color w:val="000000"/>
          <w:sz w:val="32"/>
          <w:szCs w:val="32"/>
        </w:rPr>
      </w:pPr>
      <w:bookmarkStart w:id="41" w:name="_Toc15377216"/>
      <w:r>
        <w:rPr>
          <w:rFonts w:hint="eastAsia" w:ascii="仿宋_GB2312" w:hAnsi="仿宋_GB2312" w:eastAsia="仿宋_GB2312" w:cs="仿宋_GB2312"/>
          <w:b/>
          <w:color w:val="000000"/>
          <w:sz w:val="32"/>
          <w:szCs w:val="32"/>
        </w:rPr>
        <w:t>（一）“三公”经费财政拨款支出决算总体情况说明</w:t>
      </w:r>
      <w:bookmarkEnd w:id="41"/>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年“三公”经费财政拨款支出决算为</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万元，完成预算</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较上年</w:t>
      </w:r>
      <w:r>
        <w:rPr>
          <w:rFonts w:hint="eastAsia" w:ascii="仿宋_GB2312" w:hAnsi="仿宋_GB2312" w:eastAsia="仿宋_GB2312" w:cs="仿宋_GB2312"/>
          <w:color w:val="auto"/>
          <w:sz w:val="32"/>
          <w:szCs w:val="32"/>
          <w:highlight w:val="none"/>
          <w:lang w:val="en-US" w:eastAsia="zh-CN"/>
        </w:rPr>
        <w:t>减少</w:t>
      </w:r>
      <w:r>
        <w:rPr>
          <w:rFonts w:hint="eastAsia" w:ascii="仿宋_GB2312" w:hAnsi="仿宋_GB2312" w:cs="仿宋_GB2312"/>
          <w:color w:val="auto"/>
          <w:sz w:val="32"/>
          <w:szCs w:val="32"/>
          <w:highlight w:val="none"/>
          <w:lang w:val="en-US" w:eastAsia="zh-CN"/>
        </w:rPr>
        <w:t>14.47</w:t>
      </w:r>
      <w:r>
        <w:rPr>
          <w:rFonts w:hint="eastAsia" w:ascii="仿宋_GB2312" w:hAnsi="仿宋_GB2312" w:eastAsia="仿宋_GB2312" w:cs="仿宋_GB2312"/>
          <w:color w:val="auto"/>
          <w:sz w:val="32"/>
          <w:szCs w:val="32"/>
          <w:highlight w:val="none"/>
          <w:lang w:val="en-US" w:eastAsia="zh-CN"/>
        </w:rPr>
        <w:t>万元，下降</w:t>
      </w:r>
      <w:r>
        <w:rPr>
          <w:rFonts w:hint="eastAsia" w:ascii="仿宋_GB2312" w:hAnsi="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决算数与预算数持平。</w:t>
      </w:r>
    </w:p>
    <w:p>
      <w:pPr>
        <w:spacing w:line="600" w:lineRule="exact"/>
        <w:ind w:firstLine="640"/>
        <w:outlineLvl w:val="2"/>
        <w:rPr>
          <w:rFonts w:hint="eastAsia" w:ascii="仿宋_GB2312" w:hAnsi="仿宋_GB2312" w:eastAsia="仿宋_GB2312" w:cs="仿宋_GB2312"/>
          <w:b/>
          <w:color w:val="000000"/>
          <w:sz w:val="32"/>
          <w:szCs w:val="32"/>
        </w:rPr>
      </w:pPr>
      <w:bookmarkStart w:id="42" w:name="_Toc15377217"/>
      <w:r>
        <w:rPr>
          <w:rFonts w:hint="eastAsia" w:ascii="仿宋_GB2312" w:hAnsi="仿宋_GB2312" w:eastAsia="仿宋_GB2312" w:cs="仿宋_GB2312"/>
          <w:b/>
          <w:color w:val="000000"/>
          <w:sz w:val="32"/>
          <w:szCs w:val="32"/>
        </w:rPr>
        <w:t>（二）“三公”经费财政拨款支出决算具体情况说明</w:t>
      </w:r>
      <w:bookmarkEnd w:id="42"/>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年“三公”经费财政拨款支出决算中，因公出国（境）费支出决算</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%。具体情况如下：</w:t>
      </w:r>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（图7：“三公”经费财政拨款支出结构）（饼状图）</w:t>
      </w:r>
    </w:p>
    <w:p>
      <w:pPr>
        <w:spacing w:line="600" w:lineRule="exact"/>
        <w:ind w:firstLine="64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1.因公出国（境）经费支出</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Style w:val="15"/>
          <w:rFonts w:hint="eastAsia" w:ascii="仿宋_GB2312" w:hAnsi="仿宋_GB2312" w:eastAsia="仿宋_GB2312" w:cs="仿宋_GB2312"/>
          <w:b w:val="0"/>
          <w:bCs/>
          <w:color w:val="auto"/>
          <w:sz w:val="32"/>
          <w:szCs w:val="32"/>
          <w:highlight w:val="none"/>
        </w:rPr>
        <w:t>完成预算</w:t>
      </w:r>
      <w:r>
        <w:rPr>
          <w:rStyle w:val="15"/>
          <w:rFonts w:hint="eastAsia" w:ascii="仿宋_GB2312" w:hAnsi="仿宋_GB2312" w:cs="仿宋_GB2312"/>
          <w:b w:val="0"/>
          <w:bCs/>
          <w:color w:val="auto"/>
          <w:sz w:val="32"/>
          <w:szCs w:val="32"/>
          <w:highlight w:val="none"/>
          <w:lang w:val="en-US" w:eastAsia="zh-CN"/>
        </w:rPr>
        <w:t>0</w:t>
      </w:r>
      <w:r>
        <w:rPr>
          <w:rStyle w:val="15"/>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color w:val="auto"/>
          <w:sz w:val="32"/>
          <w:szCs w:val="32"/>
          <w:highlight w:val="none"/>
        </w:rPr>
        <w:t>全年安排因公出国（境）团组</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次，出国（境）</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人。因公出国（境）支出决算比20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年增加/减少</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万元，增长/下降</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%。主要原因</w:t>
      </w:r>
      <w:r>
        <w:rPr>
          <w:rFonts w:hint="eastAsia" w:ascii="仿宋_GB2312" w:hAnsi="仿宋_GB2312" w:cs="仿宋_GB2312"/>
          <w:color w:val="auto"/>
          <w:sz w:val="32"/>
          <w:szCs w:val="32"/>
          <w:highlight w:val="none"/>
          <w:lang w:val="en-US" w:eastAsia="zh-CN"/>
        </w:rPr>
        <w:t>无</w:t>
      </w:r>
      <w:r>
        <w:rPr>
          <w:rFonts w:hint="eastAsia" w:ascii="仿宋_GB2312" w:hAnsi="仿宋_GB2312" w:eastAsia="仿宋_GB2312" w:cs="仿宋_GB2312"/>
          <w:color w:val="auto"/>
          <w:sz w:val="32"/>
          <w:szCs w:val="32"/>
          <w:highlight w:val="none"/>
        </w:rPr>
        <w:t>。</w:t>
      </w:r>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开支内容包括：</w:t>
      </w:r>
      <w:r>
        <w:rPr>
          <w:rFonts w:hint="eastAsia" w:ascii="仿宋_GB2312"/>
          <w:color w:val="000000"/>
          <w:szCs w:val="32"/>
        </w:rPr>
        <w:t>本年度无支出</w:t>
      </w:r>
      <w:r>
        <w:rPr>
          <w:rFonts w:hint="eastAsia" w:ascii="仿宋_GB2312" w:hAnsi="仿宋_GB2312" w:eastAsia="仿宋_GB2312" w:cs="仿宋_GB2312"/>
          <w:color w:val="auto"/>
          <w:sz w:val="32"/>
          <w:szCs w:val="32"/>
          <w:highlight w:val="none"/>
        </w:rPr>
        <w:t>。</w:t>
      </w:r>
    </w:p>
    <w:p>
      <w:pPr>
        <w:spacing w:line="600" w:lineRule="exact"/>
        <w:ind w:firstLine="64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2.公务用车购置及运行维护费支出</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Style w:val="15"/>
          <w:rFonts w:hint="eastAsia" w:ascii="仿宋_GB2312" w:hAnsi="仿宋_GB2312" w:eastAsia="仿宋_GB2312" w:cs="仿宋_GB2312"/>
          <w:b w:val="0"/>
          <w:bCs/>
          <w:color w:val="auto"/>
          <w:sz w:val="32"/>
          <w:szCs w:val="32"/>
          <w:highlight w:val="none"/>
        </w:rPr>
        <w:t>完成预算</w:t>
      </w:r>
      <w:r>
        <w:rPr>
          <w:rStyle w:val="15"/>
          <w:rFonts w:hint="eastAsia" w:ascii="仿宋_GB2312" w:hAnsi="仿宋_GB2312" w:cs="仿宋_GB2312"/>
          <w:b w:val="0"/>
          <w:bCs/>
          <w:color w:val="auto"/>
          <w:sz w:val="32"/>
          <w:szCs w:val="32"/>
          <w:highlight w:val="none"/>
          <w:lang w:val="en-US" w:eastAsia="zh-CN"/>
        </w:rPr>
        <w:t>0</w:t>
      </w:r>
      <w:r>
        <w:rPr>
          <w:rStyle w:val="15"/>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color w:val="auto"/>
          <w:sz w:val="32"/>
          <w:szCs w:val="32"/>
          <w:highlight w:val="none"/>
        </w:rPr>
        <w:t>公务用车购置及运行维护费支出决算比20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年减少</w:t>
      </w:r>
      <w:r>
        <w:rPr>
          <w:rFonts w:hint="eastAsia" w:ascii="仿宋_GB2312" w:hAnsi="仿宋_GB2312" w:cs="仿宋_GB2312"/>
          <w:color w:val="auto"/>
          <w:sz w:val="32"/>
          <w:szCs w:val="32"/>
          <w:highlight w:val="none"/>
          <w:lang w:val="en-US" w:eastAsia="zh-CN"/>
        </w:rPr>
        <w:t>14.47</w:t>
      </w:r>
      <w:r>
        <w:rPr>
          <w:rFonts w:hint="eastAsia" w:ascii="仿宋_GB2312" w:hAnsi="仿宋_GB2312" w:eastAsia="仿宋_GB2312" w:cs="仿宋_GB2312"/>
          <w:color w:val="auto"/>
          <w:sz w:val="32"/>
          <w:szCs w:val="32"/>
          <w:highlight w:val="none"/>
        </w:rPr>
        <w:t>万元，下降</w:t>
      </w:r>
      <w:r>
        <w:rPr>
          <w:rFonts w:hint="eastAsia" w:ascii="仿宋_GB2312" w:hAnsi="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%。主要原因</w:t>
      </w:r>
      <w:r>
        <w:rPr>
          <w:rFonts w:hint="eastAsia" w:ascii="仿宋_GB2312" w:hAnsi="仿宋_GB2312" w:cs="仿宋_GB2312"/>
          <w:color w:val="auto"/>
          <w:sz w:val="32"/>
          <w:szCs w:val="32"/>
          <w:highlight w:val="none"/>
          <w:lang w:val="en-US" w:eastAsia="zh-CN"/>
        </w:rPr>
        <w:t>2020年由于新冠疫情爆发，市财政于当年9月转移支付50万元中央经费用于购买救治新冠病人的负压救护车，该经费2020年支出35.53万元，2021年支出14.47万元</w:t>
      </w:r>
      <w:r>
        <w:rPr>
          <w:rFonts w:hint="eastAsia" w:ascii="仿宋_GB2312" w:hAnsi="仿宋_GB2312" w:eastAsia="仿宋_GB2312" w:cs="仿宋_GB2312"/>
          <w:color w:val="auto"/>
          <w:sz w:val="32"/>
          <w:szCs w:val="32"/>
          <w:highlight w:val="none"/>
        </w:rPr>
        <w:t>。</w:t>
      </w:r>
    </w:p>
    <w:p>
      <w:pPr>
        <w:spacing w:line="600" w:lineRule="exact"/>
        <w:ind w:firstLine="640"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其中：</w:t>
      </w:r>
      <w:r>
        <w:rPr>
          <w:rFonts w:hint="eastAsia" w:ascii="仿宋_GB2312" w:hAnsi="仿宋_GB2312" w:eastAsia="仿宋_GB2312" w:cs="仿宋_GB2312"/>
          <w:b/>
          <w:color w:val="auto"/>
          <w:sz w:val="32"/>
          <w:szCs w:val="32"/>
          <w:highlight w:val="none"/>
        </w:rPr>
        <w:t>公务用车购置支出</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万元。全年按规定更新购置公务用车</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辆，其中：轿车</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辆、金额</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万元，越野车</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辆、金额</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万元，载客汽车</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辆、金额</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万元，主要用于</w:t>
      </w:r>
      <w:r>
        <w:rPr>
          <w:rFonts w:hint="eastAsia" w:ascii="仿宋_GB2312" w:hAnsi="仿宋_GB2312" w:cs="仿宋_GB2312"/>
          <w:color w:val="auto"/>
          <w:sz w:val="32"/>
          <w:szCs w:val="32"/>
          <w:highlight w:val="none"/>
          <w:lang w:val="en-US" w:eastAsia="zh-CN"/>
        </w:rPr>
        <w:t>无</w:t>
      </w:r>
      <w:r>
        <w:rPr>
          <w:rFonts w:hint="eastAsia" w:ascii="仿宋_GB2312" w:hAnsi="仿宋_GB2312" w:eastAsia="仿宋_GB2312" w:cs="仿宋_GB2312"/>
          <w:color w:val="auto"/>
          <w:sz w:val="32"/>
          <w:szCs w:val="32"/>
          <w:highlight w:val="none"/>
        </w:rPr>
        <w:t>。截至20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年12月底，单位共有公务用车</w:t>
      </w:r>
      <w:r>
        <w:rPr>
          <w:rFonts w:hint="eastAsia" w:ascii="仿宋_GB2312"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辆，其中：</w:t>
      </w:r>
      <w:r>
        <w:rPr>
          <w:rFonts w:hint="eastAsia" w:ascii="仿宋_GB2312"/>
          <w:color w:val="000000"/>
          <w:szCs w:val="32"/>
          <w:highlight w:val="none"/>
        </w:rPr>
        <w:t>特种专业技术用车</w:t>
      </w:r>
      <w:r>
        <w:rPr>
          <w:rFonts w:hint="eastAsia" w:ascii="仿宋_GB2312"/>
          <w:color w:val="000000"/>
          <w:szCs w:val="32"/>
          <w:highlight w:val="none"/>
          <w:lang w:val="en-US" w:eastAsia="zh-CN"/>
        </w:rPr>
        <w:t>2</w:t>
      </w:r>
      <w:r>
        <w:rPr>
          <w:rFonts w:hint="eastAsia" w:ascii="仿宋_GB2312"/>
          <w:color w:val="000000"/>
          <w:szCs w:val="32"/>
          <w:highlight w:val="none"/>
        </w:rPr>
        <w:t>辆</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轿车</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辆、越野车</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辆、载客汽车</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w:t>
      </w:r>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公务用车运行维护费支出</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万元。主要用于</w:t>
      </w:r>
      <w:r>
        <w:rPr>
          <w:rFonts w:hint="eastAsia" w:ascii="仿宋_GB2312" w:hAnsi="仿宋_GB2312" w:cs="仿宋_GB2312"/>
          <w:color w:val="auto"/>
          <w:sz w:val="32"/>
          <w:szCs w:val="32"/>
          <w:highlight w:val="none"/>
          <w:lang w:val="en-US" w:eastAsia="zh-CN"/>
        </w:rPr>
        <w:t>无</w:t>
      </w:r>
      <w:r>
        <w:rPr>
          <w:rFonts w:hint="eastAsia" w:ascii="仿宋_GB2312" w:hAnsi="仿宋_GB2312" w:eastAsia="仿宋_GB2312" w:cs="仿宋_GB2312"/>
          <w:color w:val="auto"/>
          <w:sz w:val="32"/>
          <w:szCs w:val="32"/>
          <w:highlight w:val="none"/>
        </w:rPr>
        <w:t>（具体工作）等所需的公务用车燃料费、维修费、过路过桥费、保险费等支出。</w:t>
      </w:r>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3.公务接待费支出</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Style w:val="15"/>
          <w:rFonts w:hint="eastAsia" w:ascii="仿宋_GB2312" w:hAnsi="仿宋_GB2312" w:eastAsia="仿宋_GB2312" w:cs="仿宋_GB2312"/>
          <w:b w:val="0"/>
          <w:bCs/>
          <w:color w:val="auto"/>
          <w:sz w:val="32"/>
          <w:szCs w:val="32"/>
          <w:highlight w:val="none"/>
        </w:rPr>
        <w:t>完成预算</w:t>
      </w:r>
      <w:r>
        <w:rPr>
          <w:rStyle w:val="15"/>
          <w:rFonts w:hint="eastAsia" w:ascii="仿宋_GB2312" w:hAnsi="仿宋_GB2312" w:cs="仿宋_GB2312"/>
          <w:b w:val="0"/>
          <w:bCs/>
          <w:color w:val="auto"/>
          <w:sz w:val="32"/>
          <w:szCs w:val="32"/>
          <w:highlight w:val="none"/>
          <w:lang w:val="en-US" w:eastAsia="zh-CN"/>
        </w:rPr>
        <w:t>0</w:t>
      </w:r>
      <w:r>
        <w:rPr>
          <w:rStyle w:val="15"/>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color w:val="auto"/>
          <w:sz w:val="32"/>
          <w:szCs w:val="32"/>
          <w:highlight w:val="none"/>
        </w:rPr>
        <w:t>公务接待费支出决算比20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年增加/减少</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万元，增长/下降</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%。主要原因</w:t>
      </w:r>
      <w:r>
        <w:rPr>
          <w:rFonts w:hint="eastAsia" w:ascii="仿宋_GB2312" w:hAnsi="仿宋_GB2312" w:cs="仿宋_GB2312"/>
          <w:color w:val="auto"/>
          <w:sz w:val="32"/>
          <w:szCs w:val="32"/>
          <w:highlight w:val="none"/>
          <w:lang w:val="en-US" w:eastAsia="zh-CN"/>
        </w:rPr>
        <w:t>无</w:t>
      </w:r>
      <w:r>
        <w:rPr>
          <w:rFonts w:hint="eastAsia" w:ascii="仿宋_GB2312" w:hAnsi="仿宋_GB2312" w:eastAsia="仿宋_GB2312" w:cs="仿宋_GB2312"/>
          <w:color w:val="auto"/>
          <w:sz w:val="32"/>
          <w:szCs w:val="32"/>
          <w:highlight w:val="none"/>
        </w:rPr>
        <w:t>。其中：</w:t>
      </w:r>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国内公务接待支出</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万元，主要用于</w:t>
      </w:r>
      <w:r>
        <w:rPr>
          <w:rFonts w:hint="eastAsia" w:ascii="仿宋_GB2312" w:hAnsi="仿宋_GB2312" w:cs="仿宋_GB2312"/>
          <w:color w:val="auto"/>
          <w:sz w:val="32"/>
          <w:szCs w:val="32"/>
          <w:highlight w:val="none"/>
          <w:lang w:val="en-US" w:eastAsia="zh-CN"/>
        </w:rPr>
        <w:t>无</w:t>
      </w:r>
      <w:r>
        <w:rPr>
          <w:rFonts w:hint="eastAsia" w:ascii="仿宋_GB2312" w:hAnsi="仿宋_GB2312" w:eastAsia="仿宋_GB2312" w:cs="仿宋_GB2312"/>
          <w:color w:val="auto"/>
          <w:sz w:val="32"/>
          <w:szCs w:val="32"/>
          <w:highlight w:val="none"/>
        </w:rPr>
        <w:t>(执行公务、开展业务活动开支的交通费、住宿费、用餐费等)。国内公务接待</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批次，</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人次（不包括陪同人员），共计支出</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万元，具体内容包括：</w:t>
      </w:r>
      <w:r>
        <w:rPr>
          <w:rFonts w:hint="eastAsia" w:ascii="仿宋_GB2312" w:hAnsi="仿宋_GB2312" w:cs="仿宋_GB2312"/>
          <w:color w:val="auto"/>
          <w:sz w:val="32"/>
          <w:szCs w:val="32"/>
          <w:highlight w:val="none"/>
          <w:lang w:val="en-US" w:eastAsia="zh-CN"/>
        </w:rPr>
        <w:t>无</w:t>
      </w:r>
      <w:r>
        <w:rPr>
          <w:rFonts w:hint="eastAsia" w:ascii="仿宋_GB2312" w:hAnsi="仿宋_GB2312" w:eastAsia="仿宋_GB2312" w:cs="仿宋_GB2312"/>
          <w:color w:val="auto"/>
          <w:sz w:val="32"/>
          <w:szCs w:val="32"/>
          <w:highlight w:val="none"/>
        </w:rPr>
        <w:t>（接待具体项目、金额）。</w:t>
      </w:r>
    </w:p>
    <w:p>
      <w:pPr>
        <w:spacing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auto"/>
          <w:sz w:val="32"/>
          <w:szCs w:val="32"/>
          <w:highlight w:val="none"/>
        </w:rPr>
        <w:t>外事接待支出</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万元，主要用于接待</w:t>
      </w:r>
      <w:r>
        <w:rPr>
          <w:rFonts w:hint="eastAsia" w:ascii="仿宋_GB2312" w:hAnsi="仿宋_GB2312" w:cs="仿宋_GB2312"/>
          <w:color w:val="auto"/>
          <w:sz w:val="32"/>
          <w:szCs w:val="32"/>
          <w:highlight w:val="none"/>
          <w:lang w:val="en-US" w:eastAsia="zh-CN"/>
        </w:rPr>
        <w:t>无</w:t>
      </w:r>
      <w:r>
        <w:rPr>
          <w:rFonts w:hint="eastAsia" w:ascii="仿宋_GB2312" w:hAnsi="仿宋_GB2312" w:eastAsia="仿宋_GB2312" w:cs="仿宋_GB2312"/>
          <w:color w:val="auto"/>
          <w:sz w:val="32"/>
          <w:szCs w:val="32"/>
          <w:highlight w:val="none"/>
        </w:rPr>
        <w:t>（具体项目）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外事接待</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批次，</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eastAsia="zh-CN"/>
        </w:rPr>
        <w:t>次（不包括陪同人员）</w:t>
      </w:r>
      <w:r>
        <w:rPr>
          <w:rFonts w:hint="eastAsia" w:ascii="仿宋_GB2312" w:hAnsi="仿宋_GB2312" w:eastAsia="仿宋_GB2312" w:cs="仿宋_GB2312"/>
          <w:color w:val="auto"/>
          <w:sz w:val="32"/>
          <w:szCs w:val="32"/>
          <w:highlight w:val="none"/>
        </w:rPr>
        <w:t>，共计支出</w:t>
      </w:r>
      <w:r>
        <w:rPr>
          <w:rFonts w:hint="eastAsia" w:ascii="仿宋_GB2312" w:hAnsi="仿宋_GB2312" w:cs="仿宋_GB2312"/>
          <w:color w:val="auto"/>
          <w:sz w:val="32"/>
          <w:szCs w:val="32"/>
          <w:highlight w:val="none"/>
          <w:lang w:val="en-US" w:eastAsia="zh-CN"/>
        </w:rPr>
        <w:t>无</w:t>
      </w:r>
      <w:r>
        <w:rPr>
          <w:rFonts w:hint="eastAsia" w:ascii="仿宋_GB2312" w:hAnsi="仿宋_GB2312" w:eastAsia="仿宋_GB2312" w:cs="仿宋_GB2312"/>
          <w:color w:val="auto"/>
          <w:sz w:val="32"/>
          <w:szCs w:val="32"/>
          <w:highlight w:val="none"/>
        </w:rPr>
        <w:t>万元。</w:t>
      </w:r>
    </w:p>
    <w:p>
      <w:pPr>
        <w:spacing w:line="600" w:lineRule="exact"/>
        <w:ind w:firstLine="640"/>
        <w:outlineLvl w:val="1"/>
        <w:rPr>
          <w:rStyle w:val="19"/>
          <w:rFonts w:ascii="黑体" w:hAnsi="黑体" w:eastAsia="黑体"/>
        </w:rPr>
      </w:pPr>
      <w:bookmarkStart w:id="43" w:name="_Toc15396610"/>
      <w:bookmarkStart w:id="44" w:name="_Toc15377218"/>
      <w:bookmarkStart w:id="45" w:name="_Toc2074492807"/>
      <w:bookmarkStart w:id="46" w:name="_Toc1591094750"/>
      <w:r>
        <w:rPr>
          <w:rFonts w:hint="eastAsia" w:ascii="黑体" w:eastAsia="黑体"/>
          <w:color w:val="000000"/>
          <w:sz w:val="32"/>
          <w:szCs w:val="32"/>
        </w:rPr>
        <w:t>八、</w:t>
      </w:r>
      <w:r>
        <w:rPr>
          <w:rStyle w:val="19"/>
          <w:rFonts w:hint="eastAsia" w:ascii="黑体" w:hAnsi="黑体" w:eastAsia="黑体"/>
          <w:b w:val="0"/>
        </w:rPr>
        <w:t>政府性基金预算支出决算情况说明</w:t>
      </w:r>
      <w:bookmarkEnd w:id="43"/>
      <w:bookmarkEnd w:id="44"/>
      <w:bookmarkEnd w:id="45"/>
      <w:bookmarkEnd w:id="46"/>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年政府性基金预算</w:t>
      </w:r>
      <w:r>
        <w:rPr>
          <w:rFonts w:hint="eastAsia" w:ascii="仿宋_GB2312" w:hAnsi="仿宋_GB2312" w:eastAsia="仿宋_GB2312" w:cs="仿宋_GB2312"/>
          <w:color w:val="auto"/>
          <w:sz w:val="32"/>
          <w:szCs w:val="32"/>
          <w:highlight w:val="none"/>
          <w:lang w:eastAsia="zh-CN"/>
        </w:rPr>
        <w:t>财政</w:t>
      </w:r>
      <w:r>
        <w:rPr>
          <w:rFonts w:hint="eastAsia" w:ascii="仿宋_GB2312" w:hAnsi="仿宋_GB2312" w:eastAsia="仿宋_GB2312" w:cs="仿宋_GB2312"/>
          <w:color w:val="auto"/>
          <w:sz w:val="32"/>
          <w:szCs w:val="32"/>
          <w:highlight w:val="none"/>
        </w:rPr>
        <w:t>拨款支出</w:t>
      </w:r>
      <w:r>
        <w:rPr>
          <w:rFonts w:hint="eastAsia" w:ascii="仿宋_GB2312" w:hAnsi="仿宋_GB2312" w:cs="仿宋_GB2312"/>
          <w:color w:val="auto"/>
          <w:sz w:val="32"/>
          <w:szCs w:val="32"/>
          <w:highlight w:val="none"/>
          <w:lang w:val="en-US" w:eastAsia="zh-CN"/>
        </w:rPr>
        <w:t>13731.84</w:t>
      </w:r>
      <w:r>
        <w:rPr>
          <w:rFonts w:hint="eastAsia" w:ascii="仿宋_GB2312" w:hAnsi="仿宋_GB2312" w:eastAsia="仿宋_GB2312" w:cs="仿宋_GB2312"/>
          <w:color w:val="auto"/>
          <w:sz w:val="32"/>
          <w:szCs w:val="32"/>
          <w:highlight w:val="none"/>
        </w:rPr>
        <w:t>万元。</w:t>
      </w:r>
    </w:p>
    <w:p>
      <w:pPr>
        <w:numPr>
          <w:ilvl w:val="0"/>
          <w:numId w:val="2"/>
        </w:numPr>
        <w:spacing w:line="600" w:lineRule="exact"/>
        <w:ind w:firstLine="640"/>
        <w:outlineLvl w:val="1"/>
        <w:rPr>
          <w:rStyle w:val="19"/>
          <w:rFonts w:ascii="黑体" w:hAnsi="黑体" w:eastAsia="黑体"/>
          <w:b w:val="0"/>
        </w:rPr>
      </w:pPr>
      <w:bookmarkStart w:id="47" w:name="_Toc2031923035"/>
      <w:bookmarkStart w:id="48" w:name="_Toc15396611"/>
      <w:bookmarkStart w:id="49" w:name="_Toc15377219"/>
      <w:bookmarkStart w:id="50" w:name="_Toc937569418"/>
      <w:r>
        <w:rPr>
          <w:rStyle w:val="19"/>
          <w:rFonts w:hint="eastAsia" w:ascii="黑体" w:hAnsi="黑体" w:eastAsia="黑体"/>
          <w:b w:val="0"/>
        </w:rPr>
        <w:t>国有资本经营预算支出决算情况说明</w:t>
      </w:r>
      <w:bookmarkEnd w:id="47"/>
      <w:bookmarkEnd w:id="48"/>
      <w:bookmarkEnd w:id="49"/>
      <w:bookmarkEnd w:id="50"/>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年国有资本经营预算</w:t>
      </w:r>
      <w:r>
        <w:rPr>
          <w:rFonts w:hint="eastAsia" w:ascii="仿宋_GB2312" w:hAnsi="仿宋_GB2312" w:eastAsia="仿宋_GB2312" w:cs="仿宋_GB2312"/>
          <w:color w:val="auto"/>
          <w:sz w:val="32"/>
          <w:szCs w:val="32"/>
          <w:highlight w:val="none"/>
          <w:lang w:eastAsia="zh-CN"/>
        </w:rPr>
        <w:t>财政</w:t>
      </w:r>
      <w:r>
        <w:rPr>
          <w:rFonts w:hint="eastAsia" w:ascii="仿宋_GB2312" w:hAnsi="仿宋_GB2312" w:eastAsia="仿宋_GB2312" w:cs="仿宋_GB2312"/>
          <w:color w:val="auto"/>
          <w:sz w:val="32"/>
          <w:szCs w:val="32"/>
          <w:highlight w:val="none"/>
        </w:rPr>
        <w:t>拨款支出</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pPr>
        <w:spacing w:line="600" w:lineRule="exact"/>
        <w:ind w:firstLine="640" w:firstLineChars="200"/>
        <w:outlineLvl w:val="1"/>
        <w:rPr>
          <w:rStyle w:val="19"/>
          <w:rFonts w:ascii="黑体" w:hAnsi="黑体" w:eastAsia="黑体"/>
        </w:rPr>
      </w:pPr>
      <w:bookmarkStart w:id="51" w:name="_Toc838142277"/>
      <w:bookmarkStart w:id="52" w:name="_Toc479257254"/>
      <w:bookmarkStart w:id="53" w:name="_Toc15396612"/>
      <w:bookmarkStart w:id="54" w:name="_Toc15377221"/>
      <w:r>
        <w:rPr>
          <w:rFonts w:hint="eastAsia" w:ascii="黑体" w:hAnsi="黑体" w:eastAsia="黑体"/>
          <w:color w:val="000000"/>
          <w:sz w:val="32"/>
          <w:szCs w:val="32"/>
        </w:rPr>
        <w:t>十</w:t>
      </w:r>
      <w:r>
        <w:rPr>
          <w:rStyle w:val="19"/>
          <w:rFonts w:hint="eastAsia" w:ascii="黑体" w:hAnsi="黑体" w:eastAsia="黑体"/>
        </w:rPr>
        <w:t>、</w:t>
      </w:r>
      <w:r>
        <w:rPr>
          <w:rStyle w:val="19"/>
          <w:rFonts w:hint="eastAsia" w:ascii="黑体" w:hAnsi="黑体" w:eastAsia="黑体"/>
          <w:b w:val="0"/>
        </w:rPr>
        <w:t>其他重要事项的情况说明</w:t>
      </w:r>
      <w:bookmarkEnd w:id="51"/>
      <w:bookmarkEnd w:id="52"/>
      <w:bookmarkEnd w:id="53"/>
      <w:bookmarkEnd w:id="54"/>
    </w:p>
    <w:p>
      <w:pPr>
        <w:spacing w:line="600" w:lineRule="exact"/>
        <w:ind w:firstLine="643" w:firstLineChars="200"/>
        <w:outlineLvl w:val="2"/>
        <w:rPr>
          <w:rFonts w:hint="eastAsia" w:ascii="仿宋_GB2312" w:hAnsi="仿宋_GB2312" w:eastAsia="仿宋_GB2312" w:cs="仿宋_GB2312"/>
          <w:color w:val="000000"/>
          <w:sz w:val="32"/>
          <w:szCs w:val="32"/>
        </w:rPr>
      </w:pPr>
      <w:bookmarkStart w:id="55" w:name="_Toc15377222"/>
      <w:r>
        <w:rPr>
          <w:rFonts w:hint="eastAsia" w:ascii="仿宋_GB2312" w:hAnsi="仿宋_GB2312" w:eastAsia="仿宋_GB2312" w:cs="仿宋_GB2312"/>
          <w:b/>
          <w:color w:val="000000"/>
          <w:sz w:val="32"/>
          <w:szCs w:val="32"/>
        </w:rPr>
        <w:t>（一）机关运行经费支出情况</w:t>
      </w:r>
      <w:bookmarkEnd w:id="55"/>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w:t>
      </w:r>
      <w:r>
        <w:rPr>
          <w:rFonts w:hint="eastAsia"/>
          <w:szCs w:val="32"/>
        </w:rPr>
        <w:t>自贡市第三人民医院</w:t>
      </w:r>
      <w:r>
        <w:rPr>
          <w:rFonts w:hint="eastAsia" w:ascii="仿宋_GB2312" w:hAnsi="仿宋_GB2312" w:eastAsia="仿宋_GB2312" w:cs="仿宋_GB2312"/>
          <w:color w:val="auto"/>
          <w:sz w:val="32"/>
          <w:szCs w:val="32"/>
          <w:highlight w:val="none"/>
        </w:rPr>
        <w:t>机关运行经费支出</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万元，比20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年增加/减少</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万元，增长/下降</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%（或与20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年决算数持平）。主要原因是</w:t>
      </w:r>
      <w:r>
        <w:rPr>
          <w:rFonts w:hint="eastAsia" w:ascii="仿宋_GB2312" w:hAnsi="仿宋_GB2312" w:cs="仿宋_GB2312"/>
          <w:color w:val="auto"/>
          <w:sz w:val="32"/>
          <w:szCs w:val="32"/>
          <w:highlight w:val="none"/>
          <w:lang w:val="en-US" w:eastAsia="zh-CN"/>
        </w:rPr>
        <w:t>无</w:t>
      </w:r>
      <w:r>
        <w:rPr>
          <w:rFonts w:hint="eastAsia" w:ascii="仿宋_GB2312" w:hAnsi="仿宋_GB2312" w:eastAsia="仿宋_GB2312" w:cs="仿宋_GB2312"/>
          <w:color w:val="auto"/>
          <w:sz w:val="32"/>
          <w:szCs w:val="32"/>
          <w:highlight w:val="none"/>
          <w:lang w:eastAsia="zh-CN"/>
        </w:rPr>
        <w:t>。</w:t>
      </w:r>
    </w:p>
    <w:p>
      <w:pPr>
        <w:autoSpaceDE w:val="0"/>
        <w:autoSpaceDN w:val="0"/>
        <w:adjustRightInd w:val="0"/>
        <w:spacing w:line="600" w:lineRule="exact"/>
        <w:ind w:firstLine="643" w:firstLineChars="200"/>
        <w:jc w:val="left"/>
        <w:outlineLvl w:val="2"/>
        <w:rPr>
          <w:rFonts w:hint="eastAsia" w:ascii="仿宋_GB2312" w:hAnsi="仿宋_GB2312" w:eastAsia="仿宋_GB2312" w:cs="仿宋_GB2312"/>
          <w:b/>
          <w:color w:val="000000"/>
          <w:sz w:val="32"/>
          <w:szCs w:val="32"/>
        </w:rPr>
      </w:pPr>
      <w:bookmarkStart w:id="56" w:name="_Toc15377223"/>
      <w:r>
        <w:rPr>
          <w:rFonts w:hint="eastAsia" w:ascii="仿宋_GB2312" w:hAnsi="仿宋_GB2312" w:eastAsia="仿宋_GB2312" w:cs="仿宋_GB2312"/>
          <w:b/>
          <w:color w:val="000000"/>
          <w:sz w:val="32"/>
          <w:szCs w:val="32"/>
        </w:rPr>
        <w:t>（二）</w:t>
      </w:r>
      <w:r>
        <w:rPr>
          <w:rFonts w:hint="eastAsia" w:ascii="仿宋_GB2312" w:hAnsi="仿宋_GB2312" w:eastAsia="仿宋_GB2312" w:cs="仿宋_GB2312"/>
          <w:b/>
          <w:color w:val="000000"/>
          <w:sz w:val="32"/>
          <w:szCs w:val="32"/>
          <w:highlight w:val="none"/>
        </w:rPr>
        <w:t>政府采购支出情况</w:t>
      </w:r>
      <w:bookmarkEnd w:id="56"/>
    </w:p>
    <w:p>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w:t>
      </w:r>
      <w:r>
        <w:rPr>
          <w:rFonts w:hint="eastAsia"/>
          <w:szCs w:val="32"/>
        </w:rPr>
        <w:t>自贡市第三人民医院</w:t>
      </w:r>
      <w:r>
        <w:rPr>
          <w:rFonts w:hint="eastAsia" w:ascii="仿宋_GB2312" w:hAnsi="仿宋_GB2312" w:eastAsia="仿宋_GB2312" w:cs="仿宋_GB2312"/>
          <w:color w:val="auto"/>
          <w:sz w:val="32"/>
          <w:szCs w:val="32"/>
          <w:highlight w:val="none"/>
        </w:rPr>
        <w:t>政府采购支出总额</w:t>
      </w:r>
      <w:r>
        <w:rPr>
          <w:rFonts w:hint="eastAsia" w:ascii="仿宋_GB2312" w:hAnsi="仿宋_GB2312" w:cs="仿宋_GB2312"/>
          <w:color w:val="auto"/>
          <w:sz w:val="32"/>
          <w:szCs w:val="32"/>
          <w:highlight w:val="none"/>
          <w:lang w:val="en-US" w:eastAsia="zh-CN"/>
        </w:rPr>
        <w:t>4216.27</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cs="仿宋_GB2312"/>
          <w:color w:val="auto"/>
          <w:sz w:val="32"/>
          <w:szCs w:val="32"/>
          <w:highlight w:val="none"/>
          <w:lang w:val="en-US" w:eastAsia="zh-CN"/>
        </w:rPr>
        <w:t>2063.97</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cs="仿宋_GB2312"/>
          <w:color w:val="auto"/>
          <w:sz w:val="32"/>
          <w:szCs w:val="32"/>
          <w:highlight w:val="none"/>
          <w:lang w:val="en-US" w:eastAsia="zh-CN"/>
        </w:rPr>
        <w:t>465.98</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cs="仿宋_GB2312"/>
          <w:color w:val="auto"/>
          <w:sz w:val="32"/>
          <w:szCs w:val="32"/>
          <w:highlight w:val="none"/>
          <w:lang w:val="en-US" w:eastAsia="zh-CN"/>
        </w:rPr>
        <w:t>1686.32</w:t>
      </w:r>
      <w:r>
        <w:rPr>
          <w:rFonts w:hint="eastAsia" w:ascii="仿宋_GB2312" w:hAnsi="仿宋_GB2312" w:eastAsia="仿宋_GB2312" w:cs="仿宋_GB2312"/>
          <w:color w:val="auto"/>
          <w:sz w:val="32"/>
          <w:szCs w:val="32"/>
          <w:highlight w:val="none"/>
        </w:rPr>
        <w:t>万元。主要用于</w:t>
      </w:r>
      <w:r>
        <w:rPr>
          <w:rFonts w:hint="eastAsia"/>
          <w:szCs w:val="32"/>
        </w:rPr>
        <w:t>购置医疗设备、台式计算机、便携式计算机、打印机、碎纸机、空调等办公设备和办公家具，物业管理费、运行维护服务、电信服务、车辆租赁等服务采购</w:t>
      </w:r>
      <w:r>
        <w:rPr>
          <w:rFonts w:hint="eastAsia" w:ascii="仿宋_GB2312" w:hAnsi="仿宋_GB2312" w:eastAsia="仿宋_GB2312" w:cs="仿宋_GB2312"/>
          <w:color w:val="auto"/>
          <w:sz w:val="32"/>
          <w:szCs w:val="32"/>
          <w:highlight w:val="none"/>
        </w:rPr>
        <w:t>。授予中小企业合同金额</w:t>
      </w:r>
      <w:r>
        <w:rPr>
          <w:rFonts w:hint="eastAsia" w:ascii="仿宋_GB2312" w:hAnsi="仿宋_GB2312" w:cs="仿宋_GB2312"/>
          <w:color w:val="auto"/>
          <w:sz w:val="32"/>
          <w:szCs w:val="32"/>
          <w:highlight w:val="none"/>
          <w:lang w:val="en-US" w:eastAsia="zh-CN"/>
        </w:rPr>
        <w:t>1373.03</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cs="仿宋_GB2312"/>
          <w:color w:val="auto"/>
          <w:sz w:val="32"/>
          <w:szCs w:val="32"/>
          <w:highlight w:val="none"/>
          <w:lang w:val="en-US" w:eastAsia="zh-CN"/>
        </w:rPr>
        <w:t>32.57</w:t>
      </w:r>
      <w:r>
        <w:rPr>
          <w:rFonts w:hint="eastAsia" w:ascii="仿宋_GB2312" w:hAnsi="仿宋_GB2312" w:eastAsia="仿宋_GB2312" w:cs="仿宋_GB2312"/>
          <w:color w:val="auto"/>
          <w:sz w:val="32"/>
          <w:szCs w:val="32"/>
          <w:highlight w:val="none"/>
        </w:rPr>
        <w:t>%，其中：授予小微企业合同金额</w:t>
      </w:r>
      <w:r>
        <w:rPr>
          <w:rFonts w:hint="eastAsia" w:ascii="仿宋_GB2312" w:hAnsi="仿宋_GB2312" w:cs="仿宋_GB2312"/>
          <w:color w:val="auto"/>
          <w:sz w:val="32"/>
          <w:szCs w:val="32"/>
          <w:highlight w:val="none"/>
          <w:lang w:val="en-US" w:eastAsia="zh-CN"/>
        </w:rPr>
        <w:t>1039.59</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cs="仿宋_GB2312"/>
          <w:color w:val="auto"/>
          <w:sz w:val="32"/>
          <w:szCs w:val="32"/>
          <w:highlight w:val="none"/>
          <w:lang w:val="en-US" w:eastAsia="zh-CN"/>
        </w:rPr>
        <w:t>24.66</w:t>
      </w:r>
      <w:r>
        <w:rPr>
          <w:rFonts w:hint="eastAsia" w:ascii="仿宋_GB2312" w:hAnsi="仿宋_GB2312" w:eastAsia="仿宋_GB2312" w:cs="仿宋_GB2312"/>
          <w:color w:val="auto"/>
          <w:sz w:val="32"/>
          <w:szCs w:val="32"/>
          <w:highlight w:val="none"/>
        </w:rPr>
        <w:t>%。</w:t>
      </w:r>
    </w:p>
    <w:p>
      <w:pPr>
        <w:autoSpaceDE w:val="0"/>
        <w:autoSpaceDN w:val="0"/>
        <w:adjustRightInd w:val="0"/>
        <w:spacing w:line="600" w:lineRule="exact"/>
        <w:ind w:firstLine="643" w:firstLineChars="200"/>
        <w:jc w:val="left"/>
        <w:outlineLvl w:val="2"/>
        <w:rPr>
          <w:rFonts w:hint="eastAsia" w:ascii="仿宋_GB2312" w:hAnsi="仿宋_GB2312" w:eastAsia="仿宋_GB2312" w:cs="仿宋_GB2312"/>
          <w:b/>
          <w:color w:val="000000"/>
          <w:sz w:val="32"/>
          <w:szCs w:val="32"/>
        </w:rPr>
      </w:pPr>
      <w:bookmarkStart w:id="57" w:name="_Toc15377224"/>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highlight w:val="none"/>
        </w:rPr>
        <w:t>三）国有资产占有使用情况</w:t>
      </w:r>
      <w:bookmarkEnd w:id="57"/>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截至20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年12月31日，</w:t>
      </w:r>
      <w:r>
        <w:rPr>
          <w:rFonts w:hint="eastAsia" w:ascii="仿宋_GB2312"/>
          <w:color w:val="000000"/>
          <w:szCs w:val="32"/>
        </w:rPr>
        <w:t>自贡市第三人民医院</w:t>
      </w:r>
      <w:r>
        <w:rPr>
          <w:rFonts w:hint="eastAsia" w:ascii="仿宋_GB2312" w:hAnsi="仿宋_GB2312" w:eastAsia="仿宋_GB2312" w:cs="仿宋_GB2312"/>
          <w:color w:val="auto"/>
          <w:sz w:val="32"/>
          <w:szCs w:val="32"/>
          <w:highlight w:val="none"/>
        </w:rPr>
        <w:t>共有车辆</w:t>
      </w:r>
      <w:r>
        <w:rPr>
          <w:rFonts w:hint="eastAsia" w:ascii="仿宋_GB2312" w:hAnsi="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辆，其中：主要领导干部用车</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辆、应急保障用车</w:t>
      </w:r>
      <w:r>
        <w:rPr>
          <w:rFonts w:hint="eastAsia" w:ascii="仿宋_GB2312"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辆、其他用车</w:t>
      </w:r>
      <w:r>
        <w:rPr>
          <w:rFonts w:hint="eastAsia" w:ascii="仿宋_GB2312" w:hAnsi="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辆</w:t>
      </w:r>
      <w:r>
        <w:rPr>
          <w:rFonts w:hint="eastAsia" w:ascii="仿宋_GB2312"/>
          <w:color w:val="000000"/>
          <w:szCs w:val="32"/>
        </w:rPr>
        <w:t>（特种专业技术用车</w:t>
      </w:r>
      <w:r>
        <w:rPr>
          <w:rFonts w:hint="eastAsia" w:ascii="仿宋_GB2312"/>
          <w:color w:val="000000"/>
          <w:szCs w:val="32"/>
          <w:lang w:val="en-US" w:eastAsia="zh-CN"/>
        </w:rPr>
        <w:t>8</w:t>
      </w:r>
      <w:r>
        <w:rPr>
          <w:rFonts w:hint="eastAsia" w:ascii="仿宋_GB2312"/>
          <w:color w:val="000000"/>
          <w:szCs w:val="32"/>
        </w:rPr>
        <w:t>辆、其他用车</w:t>
      </w:r>
      <w:r>
        <w:rPr>
          <w:rFonts w:hint="eastAsia" w:ascii="仿宋_GB2312"/>
          <w:color w:val="000000"/>
          <w:szCs w:val="32"/>
          <w:lang w:val="en-US" w:eastAsia="zh-CN"/>
        </w:rPr>
        <w:t>2</w:t>
      </w:r>
      <w:r>
        <w:rPr>
          <w:rFonts w:hint="eastAsia" w:ascii="仿宋_GB2312"/>
          <w:color w:val="000000"/>
          <w:szCs w:val="32"/>
        </w:rPr>
        <w:t>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其他用车主要是用于</w:t>
      </w:r>
      <w:r>
        <w:rPr>
          <w:rFonts w:hint="eastAsia" w:ascii="仿宋_GB2312"/>
          <w:color w:val="000000"/>
          <w:szCs w:val="32"/>
        </w:rPr>
        <w:t>用于救护车</w:t>
      </w:r>
      <w:r>
        <w:rPr>
          <w:rFonts w:hint="eastAsia" w:ascii="仿宋_GB2312"/>
          <w:color w:val="000000"/>
          <w:szCs w:val="32"/>
          <w:lang w:val="en-US" w:eastAsia="zh-CN"/>
        </w:rPr>
        <w:t>8</w:t>
      </w:r>
      <w:r>
        <w:rPr>
          <w:rFonts w:hint="eastAsia" w:ascii="仿宋_GB2312"/>
          <w:color w:val="000000"/>
          <w:szCs w:val="32"/>
        </w:rPr>
        <w:t>辆、业务用车</w:t>
      </w:r>
      <w:r>
        <w:rPr>
          <w:rFonts w:hint="eastAsia" w:ascii="仿宋_GB2312"/>
          <w:color w:val="000000"/>
          <w:szCs w:val="32"/>
          <w:lang w:val="en-US" w:eastAsia="zh-CN"/>
        </w:rPr>
        <w:t>2</w:t>
      </w:r>
      <w:r>
        <w:rPr>
          <w:rFonts w:hint="eastAsia" w:ascii="仿宋_GB2312"/>
          <w:color w:val="000000"/>
          <w:szCs w:val="32"/>
        </w:rPr>
        <w:t>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单价100万元以上专用设备</w:t>
      </w:r>
      <w:r>
        <w:rPr>
          <w:rFonts w:hint="eastAsia" w:ascii="仿宋_GB2312" w:hAnsi="仿宋_GB2312" w:cs="仿宋_GB2312"/>
          <w:color w:val="auto"/>
          <w:sz w:val="32"/>
          <w:szCs w:val="32"/>
          <w:highlight w:val="none"/>
          <w:lang w:val="en-US" w:eastAsia="zh-CN"/>
        </w:rPr>
        <w:t>26</w:t>
      </w:r>
      <w:r>
        <w:rPr>
          <w:rFonts w:hint="eastAsia" w:ascii="仿宋_GB2312" w:hAnsi="仿宋_GB2312" w:eastAsia="仿宋_GB2312" w:cs="仿宋_GB2312"/>
          <w:color w:val="auto"/>
          <w:sz w:val="32"/>
          <w:szCs w:val="32"/>
          <w:highlight w:val="none"/>
        </w:rPr>
        <w:t>台（套）。</w:t>
      </w:r>
    </w:p>
    <w:p>
      <w:pPr>
        <w:autoSpaceDE w:val="0"/>
        <w:autoSpaceDN w:val="0"/>
        <w:adjustRightInd w:val="0"/>
        <w:spacing w:line="600" w:lineRule="exact"/>
        <w:ind w:firstLine="643" w:firstLineChars="200"/>
        <w:jc w:val="left"/>
        <w:outlineLvl w:val="2"/>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（四）</w:t>
      </w:r>
      <w:r>
        <w:rPr>
          <w:rFonts w:hint="eastAsia" w:ascii="仿宋_GB2312" w:hAnsi="仿宋_GB2312" w:eastAsia="仿宋_GB2312" w:cs="仿宋_GB2312"/>
          <w:b/>
          <w:color w:val="000000"/>
          <w:sz w:val="32"/>
          <w:szCs w:val="32"/>
          <w:highlight w:val="none"/>
        </w:rPr>
        <w:t>预算绩效管理情况。</w:t>
      </w:r>
    </w:p>
    <w:p>
      <w:pPr>
        <w:pStyle w:val="2"/>
        <w:ind w:firstLine="640" w:firstLineChars="200"/>
        <w:rPr>
          <w:color w:val="auto"/>
          <w:highlight w:val="yellow"/>
        </w:rPr>
      </w:pPr>
      <w:r>
        <w:rPr>
          <w:rFonts w:hint="eastAsia" w:ascii="仿宋_GB2312" w:hAnsi="仿宋_GB2312" w:eastAsia="仿宋_GB2312" w:cs="仿宋_GB2312"/>
          <w:color w:val="auto"/>
          <w:sz w:val="32"/>
          <w:szCs w:val="32"/>
          <w:highlight w:val="none"/>
        </w:rPr>
        <w:t>根据预算绩效管理要求，本单位在202</w:t>
      </w:r>
      <w:r>
        <w:rPr>
          <w:rFonts w:hint="eastAsia"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hAnsi="仿宋_GB2312" w:cs="仿宋_GB2312"/>
          <w:color w:val="auto"/>
          <w:sz w:val="32"/>
          <w:szCs w:val="32"/>
          <w:highlight w:val="none"/>
          <w:lang w:val="en-US" w:eastAsia="zh-CN"/>
        </w:rPr>
        <w:t>0个</w:t>
      </w:r>
      <w:r>
        <w:rPr>
          <w:rFonts w:hint="eastAsia" w:ascii="仿宋_GB2312" w:hAnsi="仿宋_GB2312" w:eastAsia="仿宋_GB2312" w:cs="仿宋_GB2312"/>
          <w:color w:val="auto"/>
          <w:sz w:val="32"/>
          <w:szCs w:val="32"/>
          <w:highlight w:val="none"/>
        </w:rPr>
        <w:t>项目开展了预算事前绩效评估，对</w:t>
      </w:r>
      <w:r>
        <w:rPr>
          <w:rFonts w:hint="eastAsia"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个项目编制了绩效目标，预算执行过程中，选取</w:t>
      </w:r>
      <w:r>
        <w:rPr>
          <w:rFonts w:hint="eastAsia"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个项目开展绩效监控，组织对</w:t>
      </w:r>
      <w:r>
        <w:rPr>
          <w:rFonts w:hint="eastAsia"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个项目开展绩效自评，绩效自评表详见</w:t>
      </w:r>
      <w:r>
        <w:rPr>
          <w:rFonts w:hint="eastAsia" w:hAnsi="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pPr>
        <w:pStyle w:val="12"/>
        <w:ind w:left="0" w:leftChars="0" w:firstLine="640" w:firstLineChars="200"/>
        <w:rPr>
          <w:rFonts w:hint="eastAsia" w:ascii="仿宋_GB2312" w:hAnsi="仿宋_GB2312" w:eastAsia="仿宋_GB2312" w:cs="仿宋_GB2312"/>
          <w:color w:val="auto"/>
          <w:sz w:val="32"/>
          <w:szCs w:val="32"/>
          <w:highlight w:val="none"/>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auto"/>
          <w:sz w:val="32"/>
          <w:szCs w:val="32"/>
          <w:highlight w:val="none"/>
        </w:rPr>
        <w:t>报告详见附件。</w:t>
      </w:r>
    </w:p>
    <w:p>
      <w:pPr>
        <w:numPr>
          <w:ilvl w:val="0"/>
          <w:numId w:val="3"/>
        </w:numPr>
        <w:spacing w:line="600" w:lineRule="exact"/>
        <w:ind w:firstLine="660" w:firstLineChars="150"/>
        <w:jc w:val="center"/>
        <w:outlineLvl w:val="0"/>
        <w:rPr>
          <w:rStyle w:val="18"/>
          <w:rFonts w:ascii="黑体" w:hAnsi="黑体" w:eastAsia="黑体"/>
          <w:b w:val="0"/>
        </w:rPr>
      </w:pPr>
      <w:bookmarkStart w:id="58" w:name="_Toc15396613"/>
      <w:bookmarkStart w:id="59" w:name="_Toc15377225"/>
      <w:bookmarkStart w:id="60" w:name="_Toc1747476639"/>
      <w:r>
        <w:rPr>
          <w:rFonts w:hint="eastAsia" w:ascii="黑体" w:hAnsi="黑体" w:eastAsia="黑体"/>
          <w:color w:val="000000"/>
          <w:sz w:val="44"/>
          <w:szCs w:val="44"/>
        </w:rPr>
        <w:t>名</w:t>
      </w:r>
      <w:r>
        <w:rPr>
          <w:rStyle w:val="18"/>
          <w:rFonts w:hint="eastAsia" w:ascii="黑体" w:hAnsi="黑体" w:eastAsia="黑体"/>
          <w:b w:val="0"/>
        </w:rPr>
        <w:t>词解释</w:t>
      </w:r>
      <w:bookmarkEnd w:id="58"/>
      <w:bookmarkEnd w:id="59"/>
      <w:bookmarkEnd w:id="60"/>
    </w:p>
    <w:p>
      <w:pPr>
        <w:spacing w:line="600" w:lineRule="exact"/>
        <w:jc w:val="left"/>
        <w:rPr>
          <w:rFonts w:ascii="宋体"/>
          <w:b/>
          <w:color w:val="000000"/>
          <w:sz w:val="44"/>
          <w:szCs w:val="44"/>
        </w:rPr>
      </w:pPr>
    </w:p>
    <w:p>
      <w:pPr>
        <w:pStyle w:val="21"/>
        <w:spacing w:line="560" w:lineRule="exact"/>
        <w:ind w:firstLine="640" w:firstLineChars="200"/>
        <w:rPr>
          <w:rFonts w:ascii="仿宋_GB2312" w:eastAsia="仿宋_GB2312"/>
          <w:color w:val="auto"/>
          <w:sz w:val="32"/>
          <w:szCs w:val="32"/>
          <w:highlight w:val="none"/>
        </w:rPr>
      </w:pPr>
      <w:bookmarkStart w:id="61" w:name="_Toc15377226"/>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1"/>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事业收入：指事业单位开展专业业务活动及辅助活动取得的收入。如我院开展医疗服务活动，按照国家规定收费项目和标准取得的收入等。</w:t>
      </w:r>
    </w:p>
    <w:p>
      <w:pPr>
        <w:pStyle w:val="21"/>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其他收入：指单位取得的除上述收入以外的各项收入。主要是主要是利息收入</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租金收入、停车场管理费</w:t>
      </w:r>
      <w:r>
        <w:rPr>
          <w:rFonts w:hint="eastAsia" w:ascii="仿宋_GB2312" w:eastAsia="仿宋_GB2312"/>
          <w:color w:val="auto"/>
          <w:sz w:val="32"/>
          <w:szCs w:val="32"/>
          <w:highlight w:val="none"/>
        </w:rPr>
        <w:t>等。</w:t>
      </w:r>
      <w:r>
        <w:rPr>
          <w:rFonts w:ascii="仿宋_GB2312" w:eastAsia="仿宋_GB2312"/>
          <w:color w:val="auto"/>
          <w:sz w:val="32"/>
          <w:szCs w:val="32"/>
          <w:highlight w:val="none"/>
        </w:rPr>
        <w:t xml:space="preserve"> </w:t>
      </w:r>
    </w:p>
    <w:p>
      <w:pPr>
        <w:pStyle w:val="21"/>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1"/>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1"/>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1"/>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年末结转和结余：指单位按有关规定结转到下年或以后年度继续使用的资金。</w:t>
      </w:r>
    </w:p>
    <w:p>
      <w:pPr>
        <w:spacing w:line="600" w:lineRule="exact"/>
        <w:ind w:firstLine="640" w:firstLineChars="200"/>
        <w:rPr>
          <w:rFonts w:ascii="仿宋_GB2312" w:hAnsi="Calibri" w:cs="仿宋"/>
          <w:color w:val="000000"/>
          <w:kern w:val="0"/>
          <w:szCs w:val="32"/>
        </w:rPr>
      </w:pPr>
      <w:r>
        <w:rPr>
          <w:rFonts w:hint="eastAsia" w:ascii="仿宋_GB2312" w:hAnsi="Calibri" w:cs="仿宋"/>
          <w:color w:val="000000"/>
          <w:kern w:val="0"/>
          <w:szCs w:val="32"/>
          <w:lang w:val="en-US" w:eastAsia="zh-CN"/>
        </w:rPr>
        <w:t>8</w:t>
      </w:r>
      <w:r>
        <w:rPr>
          <w:rFonts w:hint="eastAsia" w:ascii="仿宋_GB2312" w:hAnsi="Calibri" w:cs="仿宋"/>
          <w:color w:val="000000"/>
          <w:kern w:val="0"/>
          <w:szCs w:val="32"/>
        </w:rPr>
        <w:t>.社会保障和就业（类）行政事业单位养老支出（款）事业单位离退休（项）:指本单位开支的离退休经费。。</w:t>
      </w:r>
    </w:p>
    <w:p>
      <w:pPr>
        <w:pStyle w:val="2"/>
        <w:spacing w:before="93"/>
        <w:ind w:firstLine="640" w:firstLineChars="200"/>
        <w:rPr>
          <w:rFonts w:hAnsi="Calibri" w:cs="仿宋"/>
          <w:color w:val="000000"/>
          <w:sz w:val="32"/>
          <w:szCs w:val="32"/>
        </w:rPr>
      </w:pPr>
      <w:r>
        <w:rPr>
          <w:rFonts w:hint="eastAsia" w:hAnsi="Calibri" w:cs="仿宋"/>
          <w:color w:val="000000"/>
          <w:sz w:val="32"/>
          <w:szCs w:val="32"/>
          <w:lang w:val="en-US" w:eastAsia="zh-CN"/>
        </w:rPr>
        <w:t>9</w:t>
      </w:r>
      <w:r>
        <w:rPr>
          <w:rFonts w:hint="eastAsia" w:hAnsi="Calibri" w:cs="仿宋"/>
          <w:color w:val="000000"/>
          <w:sz w:val="32"/>
          <w:szCs w:val="32"/>
        </w:rPr>
        <w:t xml:space="preserve">.社会保障和就业（类）行政事业单位养老支出（款）机关事业单位基本养老保险缴费支出（项）: 指本单位职工的基本养老保险缴费支出。 </w:t>
      </w:r>
    </w:p>
    <w:p>
      <w:pPr>
        <w:pStyle w:val="2"/>
        <w:spacing w:before="93"/>
        <w:ind w:firstLine="640" w:firstLineChars="200"/>
        <w:rPr>
          <w:rFonts w:hAnsi="Calibri" w:cs="仿宋"/>
          <w:color w:val="000000"/>
          <w:sz w:val="32"/>
          <w:szCs w:val="32"/>
        </w:rPr>
      </w:pPr>
      <w:r>
        <w:rPr>
          <w:rFonts w:hint="eastAsia" w:hAnsi="Calibri" w:cs="仿宋"/>
          <w:color w:val="000000"/>
          <w:sz w:val="32"/>
          <w:szCs w:val="32"/>
          <w:lang w:val="en-US" w:eastAsia="zh-CN"/>
        </w:rPr>
        <w:t>10</w:t>
      </w:r>
      <w:r>
        <w:rPr>
          <w:rFonts w:hint="eastAsia" w:hAnsi="Calibri" w:cs="仿宋"/>
          <w:color w:val="000000"/>
          <w:sz w:val="32"/>
          <w:szCs w:val="32"/>
        </w:rPr>
        <w:t>.社会保障和就业（类）行政事业单位养老支出（款）机关事业单位职业年金缴费支出（项）: 指本单位职工的职业年金缴费支出。</w:t>
      </w:r>
    </w:p>
    <w:p>
      <w:pPr>
        <w:pStyle w:val="2"/>
        <w:spacing w:before="93"/>
        <w:ind w:firstLine="640" w:firstLineChars="200"/>
        <w:rPr>
          <w:rFonts w:hAnsi="Calibri" w:cs="仿宋"/>
          <w:color w:val="000000"/>
          <w:sz w:val="32"/>
          <w:szCs w:val="32"/>
        </w:rPr>
      </w:pPr>
      <w:r>
        <w:rPr>
          <w:rFonts w:hint="eastAsia" w:hAnsi="Calibri" w:cs="仿宋"/>
          <w:color w:val="000000"/>
          <w:sz w:val="32"/>
          <w:szCs w:val="32"/>
        </w:rPr>
        <w:t>1</w:t>
      </w:r>
      <w:r>
        <w:rPr>
          <w:rFonts w:hint="eastAsia" w:hAnsi="Calibri" w:cs="仿宋"/>
          <w:color w:val="000000"/>
          <w:sz w:val="32"/>
          <w:szCs w:val="32"/>
          <w:lang w:val="en-US" w:eastAsia="zh-CN"/>
        </w:rPr>
        <w:t>1</w:t>
      </w:r>
      <w:r>
        <w:rPr>
          <w:rFonts w:hint="eastAsia" w:hAnsi="Calibri" w:cs="仿宋"/>
          <w:color w:val="000000"/>
          <w:sz w:val="32"/>
          <w:szCs w:val="32"/>
        </w:rPr>
        <w:t>.社会保障和就业（类）社会福利（款）养老服务（项）: 指财政在养老服务方面的补助支出，包括支持居家养老服务、社区养老服务和机构养老服务的支出，对养老服务机构的运营、建设补助支出等，不包括对社会福利事业单位的补助支出。</w:t>
      </w:r>
    </w:p>
    <w:p>
      <w:pPr>
        <w:spacing w:line="600" w:lineRule="exact"/>
        <w:ind w:firstLine="640" w:firstLineChars="200"/>
        <w:rPr>
          <w:rFonts w:ascii="仿宋_GB2312" w:hAnsi="Calibri" w:cs="仿宋"/>
          <w:color w:val="000000"/>
          <w:kern w:val="0"/>
          <w:szCs w:val="32"/>
        </w:rPr>
      </w:pPr>
      <w:r>
        <w:rPr>
          <w:rFonts w:hint="eastAsia" w:ascii="仿宋_GB2312" w:hAnsi="Calibri" w:cs="仿宋"/>
          <w:color w:val="000000"/>
          <w:kern w:val="0"/>
          <w:szCs w:val="32"/>
        </w:rPr>
        <w:t>1</w:t>
      </w:r>
      <w:r>
        <w:rPr>
          <w:rFonts w:hint="eastAsia" w:ascii="仿宋_GB2312" w:hAnsi="Calibri" w:cs="仿宋"/>
          <w:color w:val="000000"/>
          <w:kern w:val="0"/>
          <w:szCs w:val="32"/>
          <w:lang w:val="en-US" w:eastAsia="zh-CN"/>
        </w:rPr>
        <w:t>2</w:t>
      </w:r>
      <w:r>
        <w:rPr>
          <w:rFonts w:hint="eastAsia" w:ascii="仿宋_GB2312" w:hAnsi="Calibri" w:cs="仿宋"/>
          <w:color w:val="000000"/>
          <w:kern w:val="0"/>
          <w:szCs w:val="32"/>
        </w:rPr>
        <w:t>.卫生健康（类）公立医院（款）综合医院（项）:指本单位其他用于医疗卫生与计划生育管理事务方面的支出。</w:t>
      </w:r>
    </w:p>
    <w:p>
      <w:pPr>
        <w:spacing w:line="600" w:lineRule="exact"/>
        <w:ind w:firstLine="640" w:firstLineChars="200"/>
        <w:rPr>
          <w:rFonts w:ascii="仿宋_GB2312" w:hAnsi="Calibri" w:cs="仿宋"/>
          <w:color w:val="000000"/>
          <w:kern w:val="0"/>
          <w:szCs w:val="32"/>
        </w:rPr>
      </w:pPr>
      <w:r>
        <w:rPr>
          <w:rFonts w:hint="eastAsia" w:ascii="仿宋_GB2312" w:hAnsi="Calibri" w:cs="仿宋"/>
          <w:color w:val="000000"/>
          <w:kern w:val="0"/>
          <w:szCs w:val="32"/>
        </w:rPr>
        <w:t>1</w:t>
      </w:r>
      <w:r>
        <w:rPr>
          <w:rFonts w:hint="eastAsia" w:ascii="仿宋_GB2312" w:hAnsi="Calibri" w:cs="仿宋"/>
          <w:color w:val="000000"/>
          <w:kern w:val="0"/>
          <w:szCs w:val="32"/>
          <w:lang w:val="en-US" w:eastAsia="zh-CN"/>
        </w:rPr>
        <w:t>3</w:t>
      </w:r>
      <w:r>
        <w:rPr>
          <w:rFonts w:hint="eastAsia" w:ascii="仿宋_GB2312" w:hAnsi="Calibri" w:cs="仿宋"/>
          <w:color w:val="000000"/>
          <w:kern w:val="0"/>
          <w:szCs w:val="32"/>
        </w:rPr>
        <w:t>.卫生健康（类）公立医院（款）其他公立医院支出（项）:指本医院其他用于公立医院方面的支出。</w:t>
      </w:r>
    </w:p>
    <w:p>
      <w:pPr>
        <w:spacing w:line="600" w:lineRule="exact"/>
        <w:ind w:firstLine="640" w:firstLineChars="200"/>
        <w:rPr>
          <w:rFonts w:ascii="仿宋_GB2312" w:hAnsi="Calibri" w:cs="仿宋"/>
          <w:color w:val="000000"/>
          <w:kern w:val="0"/>
          <w:szCs w:val="32"/>
        </w:rPr>
      </w:pPr>
      <w:r>
        <w:rPr>
          <w:rFonts w:hint="eastAsia" w:ascii="仿宋_GB2312" w:hAnsi="Calibri" w:cs="仿宋"/>
          <w:color w:val="000000"/>
          <w:kern w:val="0"/>
          <w:szCs w:val="32"/>
        </w:rPr>
        <w:t>1</w:t>
      </w:r>
      <w:r>
        <w:rPr>
          <w:rFonts w:hint="eastAsia" w:ascii="仿宋_GB2312" w:hAnsi="Calibri" w:cs="仿宋"/>
          <w:color w:val="000000"/>
          <w:kern w:val="0"/>
          <w:szCs w:val="32"/>
          <w:lang w:val="en-US" w:eastAsia="zh-CN"/>
        </w:rPr>
        <w:t>4</w:t>
      </w:r>
      <w:r>
        <w:rPr>
          <w:rFonts w:hint="eastAsia" w:ascii="仿宋_GB2312" w:hAnsi="Calibri" w:cs="仿宋"/>
          <w:color w:val="000000"/>
          <w:kern w:val="0"/>
          <w:szCs w:val="32"/>
        </w:rPr>
        <w:t>.卫生健康（类）公共卫生（款）基本公共卫生服务（项）:指本单位用于基本公共卫生服务项目方面的支出。</w:t>
      </w:r>
    </w:p>
    <w:p>
      <w:pPr>
        <w:spacing w:line="600" w:lineRule="exact"/>
        <w:ind w:firstLine="640" w:firstLineChars="200"/>
        <w:rPr>
          <w:rFonts w:ascii="仿宋_GB2312" w:hAnsi="Calibri" w:cs="仿宋"/>
          <w:color w:val="000000"/>
          <w:kern w:val="0"/>
          <w:szCs w:val="32"/>
        </w:rPr>
      </w:pPr>
      <w:r>
        <w:rPr>
          <w:rFonts w:hint="eastAsia" w:ascii="仿宋_GB2312" w:hAnsi="Calibri" w:cs="仿宋"/>
          <w:color w:val="000000"/>
          <w:kern w:val="0"/>
          <w:szCs w:val="32"/>
        </w:rPr>
        <w:t>1</w:t>
      </w:r>
      <w:r>
        <w:rPr>
          <w:rFonts w:hint="eastAsia" w:ascii="仿宋_GB2312" w:hAnsi="Calibri" w:cs="仿宋"/>
          <w:color w:val="000000"/>
          <w:kern w:val="0"/>
          <w:szCs w:val="32"/>
          <w:lang w:val="en-US" w:eastAsia="zh-CN"/>
        </w:rPr>
        <w:t>5</w:t>
      </w:r>
      <w:r>
        <w:rPr>
          <w:rFonts w:hint="eastAsia" w:ascii="仿宋_GB2312" w:hAnsi="Calibri" w:cs="仿宋"/>
          <w:color w:val="000000"/>
          <w:kern w:val="0"/>
          <w:szCs w:val="32"/>
        </w:rPr>
        <w:t>.卫生健康（类）公共卫生（款）重大公共卫生服务（项）:指本单位用于重大疾病预防控制等重大公共卫生服务项目支出。</w:t>
      </w:r>
    </w:p>
    <w:p>
      <w:pPr>
        <w:spacing w:line="600" w:lineRule="exact"/>
        <w:ind w:firstLine="640" w:firstLineChars="200"/>
        <w:rPr>
          <w:rFonts w:ascii="仿宋_GB2312" w:hAnsi="Calibri" w:cs="仿宋"/>
          <w:color w:val="000000"/>
          <w:kern w:val="0"/>
          <w:szCs w:val="32"/>
        </w:rPr>
      </w:pPr>
      <w:r>
        <w:rPr>
          <w:rFonts w:hint="eastAsia" w:ascii="仿宋_GB2312" w:hAnsi="Calibri" w:cs="仿宋"/>
          <w:color w:val="000000"/>
          <w:kern w:val="0"/>
          <w:szCs w:val="32"/>
        </w:rPr>
        <w:t>1</w:t>
      </w:r>
      <w:r>
        <w:rPr>
          <w:rFonts w:hint="eastAsia" w:ascii="仿宋_GB2312" w:hAnsi="Calibri" w:cs="仿宋"/>
          <w:color w:val="000000"/>
          <w:kern w:val="0"/>
          <w:szCs w:val="32"/>
          <w:lang w:val="en-US" w:eastAsia="zh-CN"/>
        </w:rPr>
        <w:t>6</w:t>
      </w:r>
      <w:r>
        <w:rPr>
          <w:rFonts w:hint="eastAsia" w:ascii="仿宋_GB2312" w:hAnsi="Calibri" w:cs="仿宋"/>
          <w:color w:val="000000"/>
          <w:kern w:val="0"/>
          <w:szCs w:val="32"/>
        </w:rPr>
        <w:t>.卫生健康（类）公共卫生（款）突发公共卫生事件应急处理（项）:指用于新冠肺炎疫情防控中央补助金支出等。</w:t>
      </w:r>
    </w:p>
    <w:p>
      <w:pPr>
        <w:spacing w:line="600" w:lineRule="exact"/>
        <w:ind w:firstLine="640" w:firstLineChars="200"/>
        <w:rPr>
          <w:rFonts w:ascii="仿宋_GB2312" w:hAnsi="Calibri" w:cs="仿宋"/>
          <w:color w:val="000000"/>
          <w:kern w:val="0"/>
          <w:szCs w:val="32"/>
        </w:rPr>
      </w:pPr>
      <w:r>
        <w:rPr>
          <w:rFonts w:hint="eastAsia" w:ascii="仿宋_GB2312" w:hAnsi="Calibri" w:cs="仿宋"/>
          <w:color w:val="000000"/>
          <w:kern w:val="0"/>
          <w:szCs w:val="32"/>
        </w:rPr>
        <w:t>1</w:t>
      </w:r>
      <w:r>
        <w:rPr>
          <w:rFonts w:hint="eastAsia" w:ascii="仿宋_GB2312" w:hAnsi="Calibri" w:cs="仿宋"/>
          <w:color w:val="000000"/>
          <w:kern w:val="0"/>
          <w:szCs w:val="32"/>
          <w:lang w:val="en-US" w:eastAsia="zh-CN"/>
        </w:rPr>
        <w:t>7</w:t>
      </w:r>
      <w:r>
        <w:rPr>
          <w:rFonts w:hint="eastAsia" w:ascii="仿宋_GB2312" w:hAnsi="Calibri" w:cs="仿宋"/>
          <w:color w:val="000000"/>
          <w:kern w:val="0"/>
          <w:szCs w:val="32"/>
        </w:rPr>
        <w:t>.卫生健康（类）其他卫生健康支出（款）其他卫生健康支出（项）:指除上述项目以外其他用于卫生健康方面的支出。</w:t>
      </w:r>
    </w:p>
    <w:p>
      <w:pPr>
        <w:spacing w:line="600" w:lineRule="exact"/>
        <w:ind w:firstLine="640" w:firstLineChars="200"/>
        <w:rPr>
          <w:rFonts w:ascii="仿宋_GB2312" w:hAnsi="Calibri" w:cs="仿宋"/>
          <w:color w:val="000000"/>
          <w:kern w:val="0"/>
          <w:szCs w:val="32"/>
        </w:rPr>
      </w:pPr>
      <w:r>
        <w:rPr>
          <w:rFonts w:hint="eastAsia" w:ascii="仿宋_GB2312" w:hAnsi="Calibri" w:cs="仿宋"/>
          <w:color w:val="000000"/>
          <w:kern w:val="0"/>
          <w:szCs w:val="32"/>
        </w:rPr>
        <w:t>1</w:t>
      </w:r>
      <w:r>
        <w:rPr>
          <w:rFonts w:hint="eastAsia" w:ascii="仿宋_GB2312" w:hAnsi="Calibri" w:cs="仿宋"/>
          <w:color w:val="000000"/>
          <w:kern w:val="0"/>
          <w:szCs w:val="32"/>
          <w:lang w:val="en-US" w:eastAsia="zh-CN"/>
        </w:rPr>
        <w:t>8</w:t>
      </w:r>
      <w:r>
        <w:rPr>
          <w:rFonts w:hint="eastAsia" w:ascii="仿宋_GB2312" w:hAnsi="Calibri" w:cs="仿宋"/>
          <w:color w:val="000000"/>
          <w:kern w:val="0"/>
          <w:szCs w:val="32"/>
        </w:rPr>
        <w:t>.住房保障支出（类）住房改革支出（款）住房公积金（项）:指行政事业单位按人力资源和社会保障部、财政部规定的基本工资和津贴补贴以及规定比例为职工缴纳的住房公积金。</w:t>
      </w:r>
    </w:p>
    <w:p>
      <w:pPr>
        <w:spacing w:line="600" w:lineRule="exact"/>
        <w:ind w:firstLine="640" w:firstLineChars="200"/>
      </w:pPr>
      <w:r>
        <w:rPr>
          <w:rFonts w:hint="eastAsia" w:ascii="仿宋_GB2312" w:hAnsi="Calibri" w:cs="仿宋"/>
          <w:color w:val="000000"/>
          <w:kern w:val="0"/>
          <w:szCs w:val="32"/>
          <w:lang w:val="en-US" w:eastAsia="zh-CN"/>
        </w:rPr>
        <w:t>19</w:t>
      </w:r>
      <w:r>
        <w:rPr>
          <w:rFonts w:hint="eastAsia" w:ascii="仿宋_GB2312" w:hAnsi="Calibri" w:cs="仿宋"/>
          <w:color w:val="000000"/>
          <w:kern w:val="0"/>
          <w:szCs w:val="32"/>
        </w:rPr>
        <w:t>.其他支出（类）其他政府性基金及对应专项债务收入安排（款）其他地方自行试点项目收益专项债券收入安排（项）:指新增专项债券用于医院应急医疗和公共卫生服务能力提升支出。</w:t>
      </w:r>
    </w:p>
    <w:p>
      <w:pPr>
        <w:ind w:firstLine="640" w:firstLineChars="200"/>
        <w:rPr>
          <w:rFonts w:ascii="仿宋_GB2312" w:eastAsia="仿宋_GB2312"/>
          <w:color w:val="auto"/>
          <w:sz w:val="32"/>
          <w:szCs w:val="32"/>
          <w:highlight w:val="none"/>
        </w:rPr>
      </w:pPr>
      <w:r>
        <w:rPr>
          <w:rFonts w:hint="eastAsia" w:ascii="仿宋_GB2312"/>
          <w:color w:val="auto"/>
          <w:sz w:val="32"/>
          <w:szCs w:val="32"/>
          <w:highlight w:val="none"/>
          <w:lang w:val="en-US" w:eastAsia="zh-CN"/>
        </w:rPr>
        <w:t>20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color w:val="auto"/>
          <w:sz w:val="32"/>
          <w:szCs w:val="32"/>
          <w:highlight w:val="none"/>
          <w:lang w:val="en-US" w:eastAsia="zh-CN"/>
        </w:rPr>
        <w:t>21</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1"/>
        <w:spacing w:line="560" w:lineRule="exact"/>
        <w:ind w:firstLine="640" w:firstLineChars="200"/>
        <w:rPr>
          <w:rFonts w:hint="eastAsia" w:ascii="仿宋_GB2312" w:eastAsia="仿宋_GB2312"/>
          <w:color w:val="auto"/>
          <w:sz w:val="32"/>
          <w:szCs w:val="32"/>
          <w:highlight w:val="none"/>
        </w:rPr>
        <w:sectPr>
          <w:pgSz w:w="11906" w:h="16838"/>
          <w:pgMar w:top="1440" w:right="1800" w:bottom="1440" w:left="1800" w:header="851" w:footer="992" w:gutter="0"/>
          <w:pgNumType w:fmt="decimal"/>
          <w:cols w:space="425" w:num="1"/>
          <w:docGrid w:type="lines" w:linePitch="312" w:charSpace="0"/>
        </w:sectPr>
      </w:pPr>
      <w:r>
        <w:rPr>
          <w:rFonts w:hint="eastAsia" w:ascii="仿宋_GB2312" w:eastAsia="仿宋_GB2312"/>
          <w:color w:val="auto"/>
          <w:sz w:val="32"/>
          <w:szCs w:val="32"/>
          <w:highlight w:val="none"/>
          <w:lang w:val="en-US" w:eastAsia="zh-CN"/>
        </w:rPr>
        <w:t>22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18"/>
          <w:rFonts w:hint="eastAsia" w:ascii="黑体" w:hAnsi="黑体" w:eastAsia="黑体"/>
          <w:b w:val="0"/>
        </w:rPr>
      </w:pPr>
      <w:bookmarkStart w:id="62" w:name="_Toc1550805908"/>
      <w:bookmarkStart w:id="63" w:name="_Toc15396614"/>
      <w:r>
        <w:rPr>
          <w:rFonts w:hint="eastAsia" w:ascii="黑体" w:hAnsi="黑体" w:eastAsia="黑体"/>
          <w:color w:val="000000"/>
          <w:sz w:val="44"/>
          <w:szCs w:val="44"/>
        </w:rPr>
        <w:t>第</w:t>
      </w:r>
      <w:r>
        <w:rPr>
          <w:rStyle w:val="18"/>
          <w:rFonts w:hint="eastAsia" w:ascii="黑体" w:hAnsi="黑体" w:eastAsia="黑体"/>
          <w:b w:val="0"/>
        </w:rPr>
        <w:t>四部分</w:t>
      </w:r>
      <w:r>
        <w:rPr>
          <w:rStyle w:val="18"/>
          <w:rFonts w:ascii="黑体" w:hAnsi="黑体" w:eastAsia="黑体"/>
          <w:b w:val="0"/>
        </w:rPr>
        <w:t xml:space="preserve"> </w:t>
      </w:r>
      <w:r>
        <w:rPr>
          <w:rStyle w:val="18"/>
          <w:rFonts w:hint="eastAsia" w:ascii="黑体" w:hAnsi="黑体" w:eastAsia="黑体"/>
          <w:b w:val="0"/>
        </w:rPr>
        <w:t>附件</w:t>
      </w:r>
      <w:bookmarkEnd w:id="62"/>
      <w:bookmarkEnd w:id="63"/>
    </w:p>
    <w:p>
      <w:pPr>
        <w:pStyle w:val="2"/>
        <w:jc w:val="center"/>
        <w:rPr>
          <w:rStyle w:val="18"/>
          <w:rFonts w:hint="eastAsia" w:ascii="黑体" w:hAnsi="黑体" w:eastAsia="黑体"/>
          <w:b w:val="0"/>
        </w:rPr>
        <w:sectPr>
          <w:pgSz w:w="11906" w:h="16838"/>
          <w:pgMar w:top="1134" w:right="850" w:bottom="1134" w:left="850" w:header="851" w:footer="992" w:gutter="0"/>
          <w:pgNumType w:fmt="decimal"/>
          <w:cols w:space="0" w:num="1"/>
          <w:rtlGutter w:val="0"/>
          <w:docGrid w:type="lines" w:linePitch="443" w:charSpace="0"/>
        </w:sectPr>
      </w:pPr>
      <w:r>
        <w:rPr>
          <w:rStyle w:val="18"/>
          <w:rFonts w:hint="eastAsia" w:ascii="黑体" w:hAnsi="黑体" w:eastAsia="黑体"/>
          <w:b w:val="0"/>
        </w:rPr>
        <w:t>部门预算项目支出绩效自评表（2022年度）</w:t>
      </w:r>
    </w:p>
    <w:p>
      <w:pPr>
        <w:pStyle w:val="2"/>
        <w:jc w:val="center"/>
        <w:sectPr>
          <w:pgSz w:w="16838" w:h="11906" w:orient="landscape"/>
          <w:pgMar w:top="850" w:right="1134" w:bottom="850" w:left="1134" w:header="851" w:footer="992" w:gutter="0"/>
          <w:pgNumType w:fmt="decimal"/>
          <w:cols w:space="0" w:num="1"/>
          <w:rtlGutter w:val="0"/>
          <w:docGrid w:type="lines" w:linePitch="443" w:charSpace="0"/>
        </w:sectPr>
      </w:pPr>
      <w:bookmarkStart w:id="64" w:name="_Toc15396618"/>
      <w:bookmarkStart w:id="65" w:name="_Toc978480758"/>
      <w:r>
        <w:drawing>
          <wp:inline distT="0" distB="0" distL="114300" distR="114300">
            <wp:extent cx="8613775" cy="5930900"/>
            <wp:effectExtent l="0" t="0" r="15875"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8613775" cy="5930900"/>
                    </a:xfrm>
                    <a:prstGeom prst="rect">
                      <a:avLst/>
                    </a:prstGeom>
                    <a:noFill/>
                    <a:ln>
                      <a:noFill/>
                    </a:ln>
                  </pic:spPr>
                </pic:pic>
              </a:graphicData>
            </a:graphic>
          </wp:inline>
        </w:drawing>
      </w:r>
    </w:p>
    <w:p>
      <w:pPr>
        <w:pStyle w:val="2"/>
        <w:jc w:val="center"/>
        <w:sectPr>
          <w:pgSz w:w="16838" w:h="11906" w:orient="landscape"/>
          <w:pgMar w:top="850" w:right="1134" w:bottom="850" w:left="1134" w:header="851" w:footer="992" w:gutter="0"/>
          <w:pgNumType w:fmt="decimal"/>
          <w:cols w:space="0" w:num="1"/>
          <w:rtlGutter w:val="0"/>
          <w:docGrid w:type="lines" w:linePitch="443" w:charSpace="0"/>
        </w:sectPr>
      </w:pPr>
      <w:r>
        <w:drawing>
          <wp:inline distT="0" distB="0" distL="114300" distR="114300">
            <wp:extent cx="7922895" cy="5868670"/>
            <wp:effectExtent l="0" t="0" r="1905" b="177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7922895" cy="5868670"/>
                    </a:xfrm>
                    <a:prstGeom prst="rect">
                      <a:avLst/>
                    </a:prstGeom>
                    <a:noFill/>
                    <a:ln>
                      <a:noFill/>
                    </a:ln>
                  </pic:spPr>
                </pic:pic>
              </a:graphicData>
            </a:graphic>
          </wp:inline>
        </w:drawing>
      </w:r>
    </w:p>
    <w:p>
      <w:pPr>
        <w:pStyle w:val="2"/>
        <w:jc w:val="center"/>
        <w:sectPr>
          <w:pgSz w:w="11906" w:h="16838"/>
          <w:pgMar w:top="1134" w:right="850" w:bottom="1134" w:left="850" w:header="851" w:footer="992" w:gutter="0"/>
          <w:pgNumType w:fmt="decimal"/>
          <w:cols w:space="0" w:num="1"/>
          <w:rtlGutter w:val="0"/>
          <w:docGrid w:type="lines" w:linePitch="443" w:charSpace="0"/>
        </w:sectPr>
      </w:pPr>
      <w:r>
        <w:drawing>
          <wp:inline distT="0" distB="0" distL="114300" distR="114300">
            <wp:extent cx="6657340" cy="8924290"/>
            <wp:effectExtent l="0" t="0" r="10160" b="1016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13"/>
                    <a:stretch>
                      <a:fillRect/>
                    </a:stretch>
                  </pic:blipFill>
                  <pic:spPr>
                    <a:xfrm>
                      <a:off x="0" y="0"/>
                      <a:ext cx="6657340" cy="8924290"/>
                    </a:xfrm>
                    <a:prstGeom prst="rect">
                      <a:avLst/>
                    </a:prstGeom>
                    <a:noFill/>
                    <a:ln>
                      <a:noFill/>
                    </a:ln>
                  </pic:spPr>
                </pic:pic>
              </a:graphicData>
            </a:graphic>
          </wp:inline>
        </w:drawing>
      </w:r>
    </w:p>
    <w:p>
      <w:pPr>
        <w:pStyle w:val="2"/>
        <w:jc w:val="center"/>
        <w:sectPr>
          <w:pgSz w:w="11906" w:h="16838"/>
          <w:pgMar w:top="1134" w:right="850" w:bottom="1134" w:left="850" w:header="851" w:footer="992" w:gutter="0"/>
          <w:pgNumType w:fmt="decimal"/>
          <w:cols w:space="0" w:num="1"/>
          <w:rtlGutter w:val="0"/>
          <w:docGrid w:type="lines" w:linePitch="443" w:charSpace="0"/>
        </w:sectPr>
      </w:pPr>
      <w:r>
        <w:drawing>
          <wp:inline distT="0" distB="0" distL="114300" distR="114300">
            <wp:extent cx="6765925" cy="8916035"/>
            <wp:effectExtent l="0" t="0" r="15875" b="18415"/>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14"/>
                    <a:stretch>
                      <a:fillRect/>
                    </a:stretch>
                  </pic:blipFill>
                  <pic:spPr>
                    <a:xfrm>
                      <a:off x="0" y="0"/>
                      <a:ext cx="6765925" cy="8916035"/>
                    </a:xfrm>
                    <a:prstGeom prst="rect">
                      <a:avLst/>
                    </a:prstGeom>
                    <a:noFill/>
                    <a:ln>
                      <a:noFill/>
                    </a:ln>
                  </pic:spPr>
                </pic:pic>
              </a:graphicData>
            </a:graphic>
          </wp:inline>
        </w:drawing>
      </w:r>
    </w:p>
    <w:p>
      <w:pPr>
        <w:pStyle w:val="2"/>
        <w:jc w:val="center"/>
        <w:rPr>
          <w:rFonts w:hint="eastAsia"/>
        </w:rPr>
        <w:sectPr>
          <w:pgSz w:w="16838" w:h="11906" w:orient="landscape"/>
          <w:pgMar w:top="850" w:right="1134" w:bottom="850" w:left="1134" w:header="851" w:footer="992" w:gutter="0"/>
          <w:pgNumType w:fmt="decimal"/>
          <w:cols w:space="0" w:num="1"/>
          <w:rtlGutter w:val="0"/>
          <w:docGrid w:type="lines" w:linePitch="443" w:charSpace="0"/>
        </w:sectPr>
      </w:pPr>
      <w:r>
        <w:drawing>
          <wp:inline distT="0" distB="0" distL="114300" distR="114300">
            <wp:extent cx="8164830" cy="5916930"/>
            <wp:effectExtent l="0" t="0" r="7620" b="7620"/>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15"/>
                    <a:stretch>
                      <a:fillRect/>
                    </a:stretch>
                  </pic:blipFill>
                  <pic:spPr>
                    <a:xfrm>
                      <a:off x="0" y="0"/>
                      <a:ext cx="8164830" cy="5916930"/>
                    </a:xfrm>
                    <a:prstGeom prst="rect">
                      <a:avLst/>
                    </a:prstGeom>
                    <a:noFill/>
                    <a:ln>
                      <a:noFill/>
                    </a:ln>
                  </pic:spPr>
                </pic:pic>
              </a:graphicData>
            </a:graphic>
          </wp:inline>
        </w:drawing>
      </w:r>
    </w:p>
    <w:p>
      <w:pPr>
        <w:spacing w:line="600" w:lineRule="exact"/>
        <w:jc w:val="center"/>
        <w:outlineLvl w:val="0"/>
        <w:rPr>
          <w:rStyle w:val="18"/>
          <w:rFonts w:ascii="黑体" w:hAnsi="黑体" w:eastAsia="黑体"/>
          <w:b w:val="0"/>
        </w:rPr>
      </w:pPr>
      <w:r>
        <w:rPr>
          <w:rFonts w:hint="eastAsia" w:ascii="黑体" w:hAnsi="黑体" w:eastAsia="黑体"/>
          <w:color w:val="000000"/>
          <w:sz w:val="44"/>
          <w:szCs w:val="44"/>
        </w:rPr>
        <w:t>第</w:t>
      </w:r>
      <w:r>
        <w:rPr>
          <w:rStyle w:val="18"/>
          <w:rFonts w:hint="eastAsia" w:ascii="黑体" w:hAnsi="黑体" w:eastAsia="黑体"/>
          <w:b w:val="0"/>
        </w:rPr>
        <w:t>五部分</w:t>
      </w:r>
      <w:r>
        <w:rPr>
          <w:rStyle w:val="18"/>
          <w:rFonts w:ascii="黑体" w:hAnsi="黑体" w:eastAsia="黑体"/>
          <w:b w:val="0"/>
        </w:rPr>
        <w:t xml:space="preserve"> </w:t>
      </w:r>
      <w:r>
        <w:rPr>
          <w:rStyle w:val="18"/>
          <w:rFonts w:hint="eastAsia" w:ascii="黑体" w:hAnsi="黑体" w:eastAsia="黑体"/>
          <w:b w:val="0"/>
        </w:rPr>
        <w:t>附表</w:t>
      </w:r>
      <w:bookmarkEnd w:id="61"/>
      <w:bookmarkEnd w:id="64"/>
      <w:bookmarkEnd w:id="65"/>
    </w:p>
    <w:p>
      <w:pPr>
        <w:spacing w:line="600" w:lineRule="exact"/>
        <w:jc w:val="center"/>
        <w:outlineLvl w:val="0"/>
        <w:rPr>
          <w:rFonts w:ascii="仿宋" w:hAnsi="仿宋" w:eastAsia="仿宋"/>
          <w:b/>
          <w:color w:val="000000"/>
          <w:sz w:val="44"/>
          <w:szCs w:val="44"/>
        </w:rPr>
      </w:pPr>
    </w:p>
    <w:p>
      <w:pPr>
        <w:pStyle w:val="4"/>
        <w:rPr>
          <w:rFonts w:hint="eastAsia" w:ascii="仿宋_GB2312" w:hAnsi="仿宋_GB2312" w:eastAsia="仿宋_GB2312" w:cs="仿宋_GB2312"/>
          <w:color w:val="auto"/>
          <w:highlight w:val="none"/>
        </w:rPr>
      </w:pPr>
      <w:bookmarkStart w:id="66" w:name="_Toc1601096832"/>
      <w:bookmarkStart w:id="67" w:name="_Toc1489888423"/>
      <w:r>
        <w:rPr>
          <w:rFonts w:hint="eastAsia" w:ascii="仿宋_GB2312" w:hAnsi="仿宋_GB2312" w:eastAsia="仿宋_GB2312" w:cs="仿宋_GB2312"/>
          <w:b w:val="0"/>
          <w:color w:val="auto"/>
          <w:highlight w:val="none"/>
        </w:rPr>
        <w:t>一、收</w:t>
      </w:r>
      <w:r>
        <w:rPr>
          <w:rStyle w:val="22"/>
          <w:rFonts w:hint="eastAsia" w:ascii="仿宋_GB2312" w:hAnsi="仿宋_GB2312" w:eastAsia="仿宋_GB2312" w:cs="仿宋_GB2312"/>
          <w:b w:val="0"/>
          <w:bCs w:val="0"/>
          <w:color w:val="auto"/>
          <w:highlight w:val="none"/>
        </w:rPr>
        <w:t>入支出决算总表</w:t>
      </w:r>
      <w:bookmarkEnd w:id="66"/>
      <w:bookmarkEnd w:id="67"/>
    </w:p>
    <w:p>
      <w:pPr>
        <w:pStyle w:val="4"/>
        <w:rPr>
          <w:rFonts w:hint="eastAsia" w:ascii="仿宋_GB2312" w:hAnsi="仿宋_GB2312" w:eastAsia="仿宋_GB2312" w:cs="仿宋_GB2312"/>
          <w:color w:val="auto"/>
          <w:highlight w:val="none"/>
        </w:rPr>
      </w:pPr>
      <w:bookmarkStart w:id="68" w:name="_Toc1191378711"/>
      <w:bookmarkStart w:id="69" w:name="_Toc15396620"/>
      <w:bookmarkStart w:id="70" w:name="_Toc71206790"/>
      <w:r>
        <w:rPr>
          <w:rFonts w:hint="eastAsia" w:ascii="仿宋_GB2312" w:hAnsi="仿宋_GB2312" w:eastAsia="仿宋_GB2312" w:cs="仿宋_GB2312"/>
          <w:b w:val="0"/>
          <w:color w:val="auto"/>
          <w:highlight w:val="none"/>
        </w:rPr>
        <w:t>二、收</w:t>
      </w:r>
      <w:r>
        <w:rPr>
          <w:rStyle w:val="22"/>
          <w:rFonts w:hint="eastAsia" w:ascii="仿宋_GB2312" w:hAnsi="仿宋_GB2312" w:eastAsia="仿宋_GB2312" w:cs="仿宋_GB2312"/>
          <w:b w:val="0"/>
          <w:bCs w:val="0"/>
          <w:color w:val="auto"/>
          <w:highlight w:val="none"/>
        </w:rPr>
        <w:t>入决算表</w:t>
      </w:r>
      <w:bookmarkEnd w:id="68"/>
      <w:bookmarkEnd w:id="69"/>
      <w:bookmarkEnd w:id="70"/>
    </w:p>
    <w:p>
      <w:pPr>
        <w:pStyle w:val="4"/>
        <w:rPr>
          <w:rFonts w:hint="eastAsia" w:ascii="仿宋_GB2312" w:hAnsi="仿宋_GB2312" w:eastAsia="仿宋_GB2312" w:cs="仿宋_GB2312"/>
          <w:color w:val="auto"/>
          <w:highlight w:val="none"/>
        </w:rPr>
      </w:pPr>
      <w:bookmarkStart w:id="71" w:name="_Toc15396621"/>
      <w:bookmarkStart w:id="72" w:name="_Toc842311713"/>
      <w:bookmarkStart w:id="73" w:name="_Toc960299064"/>
      <w:r>
        <w:rPr>
          <w:rStyle w:val="22"/>
          <w:rFonts w:hint="eastAsia" w:ascii="仿宋_GB2312" w:hAnsi="仿宋_GB2312" w:eastAsia="仿宋_GB2312" w:cs="仿宋_GB2312"/>
          <w:b w:val="0"/>
          <w:bCs w:val="0"/>
          <w:color w:val="auto"/>
          <w:highlight w:val="none"/>
        </w:rPr>
        <w:t>三、</w:t>
      </w:r>
      <w:r>
        <w:rPr>
          <w:rFonts w:hint="eastAsia" w:ascii="仿宋_GB2312" w:hAnsi="仿宋_GB2312" w:eastAsia="仿宋_GB2312" w:cs="仿宋_GB2312"/>
          <w:b w:val="0"/>
          <w:color w:val="auto"/>
          <w:highlight w:val="none"/>
        </w:rPr>
        <w:t>支</w:t>
      </w:r>
      <w:r>
        <w:rPr>
          <w:rStyle w:val="22"/>
          <w:rFonts w:hint="eastAsia" w:ascii="仿宋_GB2312" w:hAnsi="仿宋_GB2312" w:eastAsia="仿宋_GB2312" w:cs="仿宋_GB2312"/>
          <w:b w:val="0"/>
          <w:bCs w:val="0"/>
          <w:color w:val="auto"/>
          <w:highlight w:val="none"/>
        </w:rPr>
        <w:t>出决算表</w:t>
      </w:r>
      <w:bookmarkEnd w:id="71"/>
      <w:bookmarkEnd w:id="72"/>
      <w:bookmarkEnd w:id="73"/>
    </w:p>
    <w:p>
      <w:pPr>
        <w:pStyle w:val="4"/>
        <w:rPr>
          <w:rFonts w:hint="eastAsia" w:ascii="仿宋_GB2312" w:hAnsi="仿宋_GB2312" w:eastAsia="仿宋_GB2312" w:cs="仿宋_GB2312"/>
          <w:b w:val="0"/>
          <w:color w:val="auto"/>
          <w:highlight w:val="none"/>
        </w:rPr>
      </w:pPr>
      <w:bookmarkStart w:id="74" w:name="_Toc1985328976"/>
      <w:bookmarkStart w:id="75" w:name="_Toc15396622"/>
      <w:bookmarkStart w:id="76" w:name="_Toc2102394412"/>
      <w:r>
        <w:rPr>
          <w:rStyle w:val="22"/>
          <w:rFonts w:hint="eastAsia" w:ascii="仿宋_GB2312" w:hAnsi="仿宋_GB2312" w:eastAsia="仿宋_GB2312" w:cs="仿宋_GB2312"/>
          <w:b w:val="0"/>
          <w:bCs w:val="0"/>
          <w:color w:val="auto"/>
          <w:highlight w:val="none"/>
        </w:rPr>
        <w:t>四、</w:t>
      </w:r>
      <w:r>
        <w:rPr>
          <w:rFonts w:hint="eastAsia" w:ascii="仿宋_GB2312" w:hAnsi="仿宋_GB2312" w:eastAsia="仿宋_GB2312" w:cs="仿宋_GB2312"/>
          <w:b w:val="0"/>
          <w:color w:val="auto"/>
          <w:highlight w:val="none"/>
        </w:rPr>
        <w:t>财</w:t>
      </w:r>
      <w:r>
        <w:rPr>
          <w:rStyle w:val="22"/>
          <w:rFonts w:hint="eastAsia" w:ascii="仿宋_GB2312" w:hAnsi="仿宋_GB2312" w:eastAsia="仿宋_GB2312" w:cs="仿宋_GB2312"/>
          <w:b w:val="0"/>
          <w:bCs w:val="0"/>
          <w:color w:val="auto"/>
          <w:highlight w:val="none"/>
        </w:rPr>
        <w:t>政拨款收入支出决算总表</w:t>
      </w:r>
      <w:bookmarkEnd w:id="74"/>
      <w:bookmarkEnd w:id="75"/>
      <w:bookmarkEnd w:id="76"/>
    </w:p>
    <w:p>
      <w:pPr>
        <w:pStyle w:val="4"/>
        <w:rPr>
          <w:rStyle w:val="22"/>
          <w:rFonts w:hint="eastAsia" w:ascii="仿宋_GB2312" w:hAnsi="仿宋_GB2312" w:eastAsia="仿宋_GB2312" w:cs="仿宋_GB2312"/>
          <w:b w:val="0"/>
          <w:bCs w:val="0"/>
          <w:color w:val="auto"/>
          <w:highlight w:val="none"/>
        </w:rPr>
      </w:pPr>
      <w:bookmarkStart w:id="77" w:name="_Toc15396623"/>
      <w:bookmarkStart w:id="78" w:name="_Toc596078385"/>
      <w:bookmarkStart w:id="79" w:name="_Toc793720287"/>
      <w:r>
        <w:rPr>
          <w:rStyle w:val="22"/>
          <w:rFonts w:hint="eastAsia" w:ascii="仿宋_GB2312" w:hAnsi="仿宋_GB2312" w:eastAsia="仿宋_GB2312" w:cs="仿宋_GB2312"/>
          <w:b w:val="0"/>
          <w:bCs w:val="0"/>
          <w:color w:val="auto"/>
          <w:highlight w:val="none"/>
        </w:rPr>
        <w:t>五、</w:t>
      </w:r>
      <w:r>
        <w:rPr>
          <w:rFonts w:hint="eastAsia" w:ascii="仿宋_GB2312" w:hAnsi="仿宋_GB2312" w:eastAsia="仿宋_GB2312" w:cs="仿宋_GB2312"/>
          <w:b w:val="0"/>
          <w:color w:val="auto"/>
          <w:highlight w:val="none"/>
        </w:rPr>
        <w:t>财</w:t>
      </w:r>
      <w:r>
        <w:rPr>
          <w:rStyle w:val="22"/>
          <w:rFonts w:hint="eastAsia" w:ascii="仿宋_GB2312" w:hAnsi="仿宋_GB2312" w:eastAsia="仿宋_GB2312" w:cs="仿宋_GB2312"/>
          <w:b w:val="0"/>
          <w:bCs w:val="0"/>
          <w:color w:val="auto"/>
          <w:highlight w:val="none"/>
        </w:rPr>
        <w:t>政拨款支出决算明细表</w:t>
      </w:r>
      <w:bookmarkEnd w:id="77"/>
      <w:bookmarkEnd w:id="78"/>
      <w:bookmarkEnd w:id="79"/>
      <w:bookmarkStart w:id="80" w:name="_Toc15396624"/>
    </w:p>
    <w:p>
      <w:pPr>
        <w:pStyle w:val="4"/>
        <w:rPr>
          <w:rFonts w:hint="eastAsia" w:ascii="仿宋_GB2312" w:hAnsi="仿宋_GB2312" w:eastAsia="仿宋_GB2312" w:cs="仿宋_GB2312"/>
          <w:color w:val="auto"/>
          <w:highlight w:val="none"/>
        </w:rPr>
      </w:pPr>
      <w:bookmarkStart w:id="81" w:name="_Toc594853557"/>
      <w:bookmarkStart w:id="82" w:name="_Toc279702131"/>
      <w:r>
        <w:rPr>
          <w:rStyle w:val="22"/>
          <w:rFonts w:hint="eastAsia" w:ascii="仿宋_GB2312" w:hAnsi="仿宋_GB2312" w:eastAsia="仿宋_GB2312" w:cs="仿宋_GB2312"/>
          <w:b w:val="0"/>
          <w:bCs w:val="0"/>
          <w:color w:val="auto"/>
          <w:highlight w:val="none"/>
        </w:rPr>
        <w:t>六、</w:t>
      </w:r>
      <w:r>
        <w:rPr>
          <w:rFonts w:hint="eastAsia" w:ascii="仿宋_GB2312" w:hAnsi="仿宋_GB2312" w:eastAsia="仿宋_GB2312" w:cs="仿宋_GB2312"/>
          <w:b w:val="0"/>
          <w:color w:val="auto"/>
          <w:highlight w:val="none"/>
        </w:rPr>
        <w:t>一</w:t>
      </w:r>
      <w:r>
        <w:rPr>
          <w:rStyle w:val="22"/>
          <w:rFonts w:hint="eastAsia" w:ascii="仿宋_GB2312" w:hAnsi="仿宋_GB2312" w:eastAsia="仿宋_GB2312" w:cs="仿宋_GB2312"/>
          <w:b w:val="0"/>
          <w:bCs w:val="0"/>
          <w:color w:val="auto"/>
          <w:highlight w:val="none"/>
        </w:rPr>
        <w:t>般公共预算财政拨款支出决算表</w:t>
      </w:r>
      <w:bookmarkEnd w:id="80"/>
      <w:bookmarkEnd w:id="81"/>
      <w:bookmarkEnd w:id="82"/>
    </w:p>
    <w:p>
      <w:pPr>
        <w:pStyle w:val="4"/>
        <w:rPr>
          <w:rFonts w:hint="eastAsia" w:ascii="仿宋_GB2312" w:hAnsi="仿宋_GB2312" w:eastAsia="仿宋_GB2312" w:cs="仿宋_GB2312"/>
          <w:color w:val="auto"/>
          <w:highlight w:val="none"/>
        </w:rPr>
      </w:pPr>
      <w:bookmarkStart w:id="83" w:name="_Toc977930145"/>
      <w:bookmarkStart w:id="84" w:name="_Toc15396625"/>
      <w:bookmarkStart w:id="85" w:name="_Toc1713458575"/>
      <w:r>
        <w:rPr>
          <w:rStyle w:val="22"/>
          <w:rFonts w:hint="eastAsia" w:ascii="仿宋_GB2312" w:hAnsi="仿宋_GB2312" w:eastAsia="仿宋_GB2312" w:cs="仿宋_GB2312"/>
          <w:b w:val="0"/>
          <w:bCs w:val="0"/>
          <w:color w:val="auto"/>
          <w:highlight w:val="none"/>
        </w:rPr>
        <w:t>七、</w:t>
      </w:r>
      <w:r>
        <w:rPr>
          <w:rFonts w:hint="eastAsia" w:ascii="仿宋_GB2312" w:hAnsi="仿宋_GB2312" w:eastAsia="仿宋_GB2312" w:cs="仿宋_GB2312"/>
          <w:b w:val="0"/>
          <w:color w:val="auto"/>
          <w:highlight w:val="none"/>
        </w:rPr>
        <w:t>一</w:t>
      </w:r>
      <w:r>
        <w:rPr>
          <w:rStyle w:val="22"/>
          <w:rFonts w:hint="eastAsia" w:ascii="仿宋_GB2312" w:hAnsi="仿宋_GB2312" w:eastAsia="仿宋_GB2312" w:cs="仿宋_GB2312"/>
          <w:b w:val="0"/>
          <w:bCs w:val="0"/>
          <w:color w:val="auto"/>
          <w:highlight w:val="none"/>
        </w:rPr>
        <w:t>般公共预算财政拨款支出决算明细表</w:t>
      </w:r>
      <w:bookmarkEnd w:id="83"/>
      <w:bookmarkEnd w:id="84"/>
      <w:bookmarkEnd w:id="85"/>
    </w:p>
    <w:p>
      <w:pPr>
        <w:pStyle w:val="4"/>
        <w:rPr>
          <w:rFonts w:hint="eastAsia" w:ascii="仿宋_GB2312" w:hAnsi="仿宋_GB2312" w:eastAsia="仿宋_GB2312" w:cs="仿宋_GB2312"/>
          <w:color w:val="auto"/>
          <w:highlight w:val="none"/>
        </w:rPr>
      </w:pPr>
      <w:bookmarkStart w:id="86" w:name="_Toc15396626"/>
      <w:bookmarkStart w:id="87" w:name="_Toc2131743400"/>
      <w:bookmarkStart w:id="88" w:name="_Toc1872794310"/>
      <w:r>
        <w:rPr>
          <w:rStyle w:val="22"/>
          <w:rFonts w:hint="eastAsia" w:ascii="仿宋_GB2312" w:hAnsi="仿宋_GB2312" w:eastAsia="仿宋_GB2312" w:cs="仿宋_GB2312"/>
          <w:b w:val="0"/>
          <w:bCs w:val="0"/>
          <w:color w:val="auto"/>
          <w:highlight w:val="none"/>
        </w:rPr>
        <w:t>八、</w:t>
      </w:r>
      <w:r>
        <w:rPr>
          <w:rFonts w:hint="eastAsia" w:ascii="仿宋_GB2312" w:hAnsi="仿宋_GB2312" w:eastAsia="仿宋_GB2312" w:cs="仿宋_GB2312"/>
          <w:b w:val="0"/>
          <w:color w:val="auto"/>
          <w:highlight w:val="none"/>
        </w:rPr>
        <w:t>一</w:t>
      </w:r>
      <w:r>
        <w:rPr>
          <w:rStyle w:val="22"/>
          <w:rFonts w:hint="eastAsia" w:ascii="仿宋_GB2312" w:hAnsi="仿宋_GB2312" w:eastAsia="仿宋_GB2312" w:cs="仿宋_GB2312"/>
          <w:b w:val="0"/>
          <w:bCs w:val="0"/>
          <w:color w:val="auto"/>
          <w:highlight w:val="none"/>
        </w:rPr>
        <w:t>般公共预算财政拨款基本支出决算表</w:t>
      </w:r>
      <w:bookmarkEnd w:id="86"/>
      <w:bookmarkEnd w:id="87"/>
      <w:bookmarkEnd w:id="88"/>
    </w:p>
    <w:p>
      <w:pPr>
        <w:pStyle w:val="4"/>
        <w:rPr>
          <w:rFonts w:hint="eastAsia" w:ascii="仿宋_GB2312" w:hAnsi="仿宋_GB2312" w:eastAsia="仿宋_GB2312" w:cs="仿宋_GB2312"/>
          <w:color w:val="auto"/>
          <w:highlight w:val="none"/>
        </w:rPr>
      </w:pPr>
      <w:bookmarkStart w:id="89" w:name="_Toc1759195258"/>
      <w:bookmarkStart w:id="90" w:name="_Toc482959152"/>
      <w:bookmarkStart w:id="91" w:name="_Toc15396627"/>
      <w:r>
        <w:rPr>
          <w:rStyle w:val="22"/>
          <w:rFonts w:hint="eastAsia" w:ascii="仿宋_GB2312" w:hAnsi="仿宋_GB2312" w:eastAsia="仿宋_GB2312" w:cs="仿宋_GB2312"/>
          <w:b w:val="0"/>
          <w:bCs w:val="0"/>
          <w:color w:val="auto"/>
          <w:highlight w:val="none"/>
        </w:rPr>
        <w:t>九、</w:t>
      </w:r>
      <w:r>
        <w:rPr>
          <w:rFonts w:hint="eastAsia" w:ascii="仿宋_GB2312" w:hAnsi="仿宋_GB2312" w:eastAsia="仿宋_GB2312" w:cs="仿宋_GB2312"/>
          <w:b w:val="0"/>
          <w:color w:val="auto"/>
          <w:highlight w:val="none"/>
        </w:rPr>
        <w:t>一</w:t>
      </w:r>
      <w:r>
        <w:rPr>
          <w:rStyle w:val="22"/>
          <w:rFonts w:hint="eastAsia" w:ascii="仿宋_GB2312" w:hAnsi="仿宋_GB2312" w:eastAsia="仿宋_GB2312" w:cs="仿宋_GB2312"/>
          <w:b w:val="0"/>
          <w:bCs w:val="0"/>
          <w:color w:val="auto"/>
          <w:highlight w:val="none"/>
        </w:rPr>
        <w:t>般公共预算财政拨款项目支出决算表</w:t>
      </w:r>
      <w:bookmarkEnd w:id="89"/>
      <w:bookmarkEnd w:id="90"/>
      <w:bookmarkEnd w:id="91"/>
    </w:p>
    <w:p>
      <w:pPr>
        <w:pStyle w:val="4"/>
        <w:rPr>
          <w:rFonts w:hint="eastAsia" w:ascii="仿宋_GB2312" w:hAnsi="仿宋_GB2312" w:eastAsia="仿宋_GB2312" w:cs="仿宋_GB2312"/>
          <w:color w:val="auto"/>
          <w:highlight w:val="none"/>
        </w:rPr>
      </w:pPr>
      <w:bookmarkStart w:id="92" w:name="_Toc15396629"/>
      <w:bookmarkStart w:id="93" w:name="_Toc1275903703"/>
      <w:bookmarkStart w:id="94" w:name="_Toc1146659231"/>
      <w:r>
        <w:rPr>
          <w:rStyle w:val="22"/>
          <w:rFonts w:hint="eastAsia" w:ascii="仿宋_GB2312" w:hAnsi="仿宋_GB2312" w:eastAsia="仿宋_GB2312" w:cs="仿宋_GB2312"/>
          <w:b w:val="0"/>
          <w:bCs w:val="0"/>
          <w:color w:val="auto"/>
          <w:highlight w:val="none"/>
        </w:rPr>
        <w:t>十、</w:t>
      </w:r>
      <w:r>
        <w:rPr>
          <w:rFonts w:hint="eastAsia" w:ascii="仿宋_GB2312" w:hAnsi="仿宋_GB2312" w:eastAsia="仿宋_GB2312" w:cs="仿宋_GB2312"/>
          <w:b w:val="0"/>
          <w:color w:val="auto"/>
          <w:highlight w:val="none"/>
        </w:rPr>
        <w:t>政</w:t>
      </w:r>
      <w:r>
        <w:rPr>
          <w:rStyle w:val="22"/>
          <w:rFonts w:hint="eastAsia" w:ascii="仿宋_GB2312" w:hAnsi="仿宋_GB2312" w:eastAsia="仿宋_GB2312" w:cs="仿宋_GB2312"/>
          <w:b w:val="0"/>
          <w:bCs w:val="0"/>
          <w:color w:val="auto"/>
          <w:highlight w:val="none"/>
        </w:rPr>
        <w:t>府性基金预算财政拨款收入支出决算表</w:t>
      </w:r>
      <w:bookmarkEnd w:id="92"/>
      <w:bookmarkEnd w:id="93"/>
      <w:bookmarkEnd w:id="94"/>
    </w:p>
    <w:p>
      <w:pPr>
        <w:pStyle w:val="4"/>
        <w:rPr>
          <w:rStyle w:val="22"/>
          <w:rFonts w:hint="eastAsia" w:ascii="仿宋_GB2312" w:hAnsi="仿宋_GB2312" w:eastAsia="仿宋_GB2312" w:cs="仿宋_GB2312"/>
          <w:b w:val="0"/>
          <w:bCs w:val="0"/>
          <w:color w:val="auto"/>
          <w:highlight w:val="none"/>
        </w:rPr>
      </w:pPr>
      <w:bookmarkStart w:id="95" w:name="_Toc15396631"/>
      <w:bookmarkStart w:id="96" w:name="_Toc1531243041"/>
      <w:bookmarkStart w:id="97" w:name="_Toc1581864026"/>
      <w:r>
        <w:rPr>
          <w:rFonts w:hint="eastAsia" w:ascii="仿宋_GB2312" w:hAnsi="仿宋_GB2312" w:cs="仿宋_GB2312"/>
          <w:b w:val="0"/>
          <w:color w:val="auto"/>
          <w:highlight w:val="none"/>
          <w:lang w:val="en-US" w:eastAsia="zh-CN"/>
        </w:rPr>
        <w:t>十一、</w:t>
      </w:r>
      <w:r>
        <w:rPr>
          <w:rFonts w:hint="eastAsia" w:ascii="仿宋_GB2312" w:hAnsi="仿宋_GB2312" w:eastAsia="仿宋_GB2312" w:cs="仿宋_GB2312"/>
          <w:b w:val="0"/>
          <w:color w:val="auto"/>
          <w:highlight w:val="none"/>
        </w:rPr>
        <w:t>国</w:t>
      </w:r>
      <w:r>
        <w:rPr>
          <w:rStyle w:val="22"/>
          <w:rFonts w:hint="eastAsia" w:ascii="仿宋_GB2312" w:hAnsi="仿宋_GB2312" w:eastAsia="仿宋_GB2312" w:cs="仿宋_GB2312"/>
          <w:b w:val="0"/>
          <w:bCs w:val="0"/>
          <w:color w:val="auto"/>
          <w:highlight w:val="none"/>
        </w:rPr>
        <w:t>有资本经营预算</w:t>
      </w:r>
      <w:r>
        <w:rPr>
          <w:rStyle w:val="22"/>
          <w:rFonts w:hint="eastAsia" w:ascii="仿宋_GB2312" w:hAnsi="仿宋_GB2312" w:eastAsia="仿宋_GB2312" w:cs="仿宋_GB2312"/>
          <w:b w:val="0"/>
          <w:bCs w:val="0"/>
          <w:color w:val="auto"/>
          <w:highlight w:val="none"/>
          <w:lang w:eastAsia="zh-CN"/>
        </w:rPr>
        <w:t>财政拨款收入</w:t>
      </w:r>
      <w:r>
        <w:rPr>
          <w:rStyle w:val="22"/>
          <w:rFonts w:hint="eastAsia" w:ascii="仿宋_GB2312" w:hAnsi="仿宋_GB2312" w:eastAsia="仿宋_GB2312" w:cs="仿宋_GB2312"/>
          <w:b w:val="0"/>
          <w:bCs w:val="0"/>
          <w:color w:val="auto"/>
          <w:highlight w:val="none"/>
        </w:rPr>
        <w:t>支出决算表</w:t>
      </w:r>
      <w:bookmarkEnd w:id="95"/>
      <w:bookmarkEnd w:id="96"/>
      <w:bookmarkEnd w:id="97"/>
    </w:p>
    <w:p>
      <w:pPr>
        <w:rPr>
          <w:rStyle w:val="22"/>
          <w:rFonts w:hint="eastAsia" w:ascii="仿宋_GB2312" w:hAnsi="仿宋_GB2312" w:eastAsia="仿宋_GB2312" w:cs="仿宋_GB2312"/>
          <w:b w:val="0"/>
          <w:bCs w:val="0"/>
          <w:color w:val="auto"/>
          <w:highlight w:val="none"/>
          <w:lang w:eastAsia="zh-CN"/>
        </w:rPr>
      </w:pPr>
      <w:bookmarkStart w:id="98" w:name="_Toc523494227"/>
      <w:bookmarkStart w:id="99" w:name="_Toc1336219249"/>
      <w:r>
        <w:rPr>
          <w:rStyle w:val="22"/>
          <w:rFonts w:hint="eastAsia" w:ascii="仿宋_GB2312" w:hAnsi="仿宋_GB2312" w:cs="仿宋_GB2312"/>
          <w:b w:val="0"/>
          <w:bCs w:val="0"/>
          <w:color w:val="auto"/>
          <w:highlight w:val="none"/>
          <w:lang w:val="en-US" w:eastAsia="zh-CN"/>
        </w:rPr>
        <w:t>十二、</w:t>
      </w:r>
      <w:r>
        <w:rPr>
          <w:rStyle w:val="22"/>
          <w:rFonts w:hint="eastAsia" w:ascii="仿宋_GB2312" w:hAnsi="仿宋_GB2312" w:eastAsia="仿宋_GB2312" w:cs="仿宋_GB2312"/>
          <w:b w:val="0"/>
          <w:bCs w:val="0"/>
          <w:color w:val="auto"/>
          <w:highlight w:val="none"/>
          <w:lang w:eastAsia="zh-CN"/>
        </w:rPr>
        <w:t>国有资本经营预算财政拨款支出决算表</w:t>
      </w:r>
      <w:bookmarkEnd w:id="98"/>
      <w:bookmarkEnd w:id="99"/>
    </w:p>
    <w:p>
      <w:pPr>
        <w:pStyle w:val="2"/>
        <w:rPr>
          <w:rFonts w:hint="default"/>
          <w:lang w:val="en-US"/>
        </w:rPr>
      </w:pPr>
      <w:r>
        <w:rPr>
          <w:rStyle w:val="22"/>
          <w:rFonts w:hint="eastAsia" w:hAnsi="仿宋_GB2312" w:cs="仿宋_GB2312"/>
          <w:b w:val="0"/>
          <w:bCs w:val="0"/>
          <w:color w:val="auto"/>
          <w:highlight w:val="none"/>
          <w:lang w:val="en-US" w:eastAsia="zh-CN"/>
        </w:rPr>
        <w:t>十三、</w:t>
      </w:r>
      <w:r>
        <w:rPr>
          <w:rFonts w:hint="eastAsia" w:ascii="仿宋_GB2312" w:hAnsi="仿宋_GB2312" w:eastAsia="仿宋_GB2312" w:cs="仿宋_GB2312"/>
          <w:b w:val="0"/>
          <w:bCs w:val="0"/>
          <w:i w:val="0"/>
          <w:iCs w:val="0"/>
          <w:sz w:val="32"/>
          <w:szCs w:val="32"/>
          <w:highlight w:val="none"/>
          <w:lang w:val="en-US" w:eastAsia="zh-CN"/>
        </w:rPr>
        <w:t>财政拨款“三公”经费支出决算表</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22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04078C"/>
    <w:rsid w:val="0585383C"/>
    <w:rsid w:val="06D96529"/>
    <w:rsid w:val="080A23A5"/>
    <w:rsid w:val="0AB9552D"/>
    <w:rsid w:val="0C7F795F"/>
    <w:rsid w:val="0EE773F4"/>
    <w:rsid w:val="15E9752D"/>
    <w:rsid w:val="1B79147F"/>
    <w:rsid w:val="2B626C08"/>
    <w:rsid w:val="2FAA3089"/>
    <w:rsid w:val="3DEA14FB"/>
    <w:rsid w:val="3E4169FF"/>
    <w:rsid w:val="3F9A05DB"/>
    <w:rsid w:val="45F611AA"/>
    <w:rsid w:val="475025BD"/>
    <w:rsid w:val="47BD0CAB"/>
    <w:rsid w:val="498C68D3"/>
    <w:rsid w:val="4A6D4614"/>
    <w:rsid w:val="4D264CA2"/>
    <w:rsid w:val="4EDB2187"/>
    <w:rsid w:val="523233B6"/>
    <w:rsid w:val="56774470"/>
    <w:rsid w:val="59271F59"/>
    <w:rsid w:val="595442E8"/>
    <w:rsid w:val="59E745DD"/>
    <w:rsid w:val="5D3E75DF"/>
    <w:rsid w:val="5EF12F90"/>
    <w:rsid w:val="5EF911B6"/>
    <w:rsid w:val="610740D5"/>
    <w:rsid w:val="62B5140E"/>
    <w:rsid w:val="63A030A0"/>
    <w:rsid w:val="6504078C"/>
    <w:rsid w:val="65116378"/>
    <w:rsid w:val="6833479B"/>
    <w:rsid w:val="6A7F7361"/>
    <w:rsid w:val="6B6453B4"/>
    <w:rsid w:val="6B769DA4"/>
    <w:rsid w:val="6CFB4CEC"/>
    <w:rsid w:val="716567D6"/>
    <w:rsid w:val="726E3979"/>
    <w:rsid w:val="747D4DEF"/>
    <w:rsid w:val="788E4A9C"/>
    <w:rsid w:val="79B788E9"/>
    <w:rsid w:val="7B0A2EF9"/>
    <w:rsid w:val="7C3B18EC"/>
    <w:rsid w:val="7E422461"/>
    <w:rsid w:val="7F250A7D"/>
    <w:rsid w:val="7FEB6C16"/>
    <w:rsid w:val="B7DF065C"/>
    <w:rsid w:val="FEF74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2"/>
    <w:unhideWhenUsed/>
    <w:qFormat/>
    <w:uiPriority w:val="9"/>
    <w:pPr>
      <w:keepNext/>
      <w:keepLines/>
      <w:spacing w:before="260" w:after="260" w:line="416" w:lineRule="auto"/>
      <w:outlineLvl w:val="1"/>
    </w:pPr>
    <w:rPr>
      <w:rFonts w:ascii="Cambria" w:hAnsi="Cambria"/>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beforeLines="30"/>
    </w:pPr>
    <w:rPr>
      <w:rFonts w:ascii="仿宋_GB2312" w:eastAsia="仿宋_GB2312"/>
      <w:kern w:val="0"/>
      <w:sz w:val="24"/>
      <w:szCs w:val="20"/>
    </w:rPr>
  </w:style>
  <w:style w:type="paragraph" w:styleId="5">
    <w:name w:val="index 5"/>
    <w:basedOn w:val="1"/>
    <w:next w:val="1"/>
    <w:qFormat/>
    <w:uiPriority w:val="0"/>
    <w:pPr>
      <w:ind w:left="1680"/>
    </w:pPr>
  </w:style>
  <w:style w:type="paragraph" w:styleId="6">
    <w:name w:val="Body Text Indent"/>
    <w:basedOn w:val="1"/>
    <w:qFormat/>
    <w:uiPriority w:val="0"/>
    <w:pPr>
      <w:spacing w:line="560" w:lineRule="exact"/>
      <w:ind w:firstLine="640" w:firstLineChars="200"/>
    </w:pPr>
  </w:style>
  <w:style w:type="paragraph" w:styleId="7">
    <w:name w:val="footer"/>
    <w:basedOn w:val="1"/>
    <w:qFormat/>
    <w:uiPriority w:val="99"/>
    <w:pPr>
      <w:tabs>
        <w:tab w:val="center" w:pos="4153"/>
        <w:tab w:val="right" w:pos="8306"/>
      </w:tabs>
      <w:snapToGrid w:val="0"/>
      <w:jc w:val="left"/>
    </w:pPr>
    <w:rPr>
      <w:rFonts w:ascii="Calibri" w:hAnsi="Calibri"/>
      <w:kern w:val="0"/>
      <w:sz w:val="18"/>
      <w:szCs w:val="20"/>
    </w:rPr>
  </w:style>
  <w:style w:type="paragraph" w:styleId="8">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9">
    <w:name w:val="toc 1"/>
    <w:basedOn w:val="1"/>
    <w:next w:val="1"/>
    <w:unhideWhenUsed/>
    <w:qFormat/>
    <w:uiPriority w:val="39"/>
    <w:pPr>
      <w:spacing w:before="120"/>
      <w:jc w:val="left"/>
    </w:pPr>
    <w:rPr>
      <w:rFonts w:ascii="等线" w:eastAsia="等线"/>
      <w:b/>
      <w:bCs/>
      <w:i/>
      <w:iCs/>
      <w:sz w:val="24"/>
    </w:rPr>
  </w:style>
  <w:style w:type="paragraph" w:styleId="10">
    <w:name w:val="footnote text"/>
    <w:basedOn w:val="1"/>
    <w:uiPriority w:val="0"/>
    <w:pPr>
      <w:snapToGrid w:val="0"/>
      <w:jc w:val="left"/>
    </w:pPr>
    <w:rPr>
      <w:sz w:val="18"/>
    </w:rPr>
  </w:style>
  <w:style w:type="paragraph" w:styleId="11">
    <w:name w:val="toc 2"/>
    <w:basedOn w:val="1"/>
    <w:next w:val="1"/>
    <w:unhideWhenUsed/>
    <w:qFormat/>
    <w:uiPriority w:val="39"/>
    <w:pPr>
      <w:spacing w:before="120"/>
      <w:ind w:left="300"/>
      <w:jc w:val="left"/>
    </w:pPr>
    <w:rPr>
      <w:rFonts w:ascii="等线" w:eastAsia="等线"/>
      <w:b/>
      <w:bCs/>
      <w:sz w:val="22"/>
      <w:szCs w:val="22"/>
    </w:rPr>
  </w:style>
  <w:style w:type="paragraph" w:styleId="12">
    <w:name w:val="Body Text First Indent 2"/>
    <w:basedOn w:val="6"/>
    <w:next w:val="5"/>
    <w:qFormat/>
    <w:uiPriority w:val="0"/>
    <w:pPr>
      <w:spacing w:after="120" w:line="240" w:lineRule="auto"/>
      <w:ind w:left="420" w:leftChars="200" w:firstLine="420"/>
    </w:pPr>
  </w:style>
  <w:style w:type="character" w:styleId="15">
    <w:name w:val="Strong"/>
    <w:basedOn w:val="14"/>
    <w:qFormat/>
    <w:uiPriority w:val="99"/>
    <w:rPr>
      <w:rFonts w:cs="Times New Roman"/>
      <w:b/>
    </w:rPr>
  </w:style>
  <w:style w:type="character" w:styleId="16">
    <w:name w:val="Hyperlink"/>
    <w:unhideWhenUsed/>
    <w:qFormat/>
    <w:uiPriority w:val="99"/>
    <w:rPr>
      <w:color w:val="0000FF"/>
      <w:u w:val="single"/>
    </w:rPr>
  </w:style>
  <w:style w:type="character" w:styleId="17">
    <w:name w:val="footnote reference"/>
    <w:basedOn w:val="14"/>
    <w:uiPriority w:val="0"/>
    <w:rPr>
      <w:vertAlign w:val="superscript"/>
    </w:rPr>
  </w:style>
  <w:style w:type="character" w:customStyle="1" w:styleId="18">
    <w:name w:val=" Char Char6"/>
    <w:basedOn w:val="14"/>
    <w:link w:val="3"/>
    <w:qFormat/>
    <w:locked/>
    <w:uiPriority w:val="9"/>
    <w:rPr>
      <w:b/>
      <w:bCs/>
      <w:kern w:val="44"/>
      <w:sz w:val="44"/>
      <w:szCs w:val="44"/>
    </w:rPr>
  </w:style>
  <w:style w:type="character" w:customStyle="1" w:styleId="19">
    <w:name w:val=" Char Char5"/>
    <w:basedOn w:val="14"/>
    <w:link w:val="4"/>
    <w:qFormat/>
    <w:locked/>
    <w:uiPriority w:val="9"/>
    <w:rPr>
      <w:rFonts w:ascii="Cambria" w:hAnsi="Cambria"/>
      <w:b/>
      <w:bCs/>
      <w:sz w:val="32"/>
      <w:szCs w:val="32"/>
    </w:rPr>
  </w:style>
  <w:style w:type="paragraph" w:customStyle="1" w:styleId="20">
    <w:name w:val="List Paragraph"/>
    <w:basedOn w:val="1"/>
    <w:qFormat/>
    <w:uiPriority w:val="34"/>
    <w:pPr>
      <w:ind w:firstLine="420" w:firstLineChars="200"/>
    </w:pPr>
  </w:style>
  <w:style w:type="paragraph" w:customStyle="1" w:styleId="2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2">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3">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chart" Target="charts/chart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0915;&#31639;&#20844;&#24320;\2022&#24180;&#20915;&#31639;&#20844;&#24320;\&#25968;&#25454;&#22635;&#21015;&#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a:t>
            </a:r>
          </a:p>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26113.5</a:t>
                    </a:r>
                  </a:p>
                  <a:p>
                    <a:pPr defTabSz="914400">
                      <a:defRPr lang="zh-CN" sz="900" b="0" i="0" u="none" strike="noStrike" kern="1200" baseline="0">
                        <a:solidFill>
                          <a:schemeClr val="tx1">
                            <a:lumMod val="75000"/>
                            <a:lumOff val="25000"/>
                          </a:schemeClr>
                        </a:solidFill>
                        <a:latin typeface="+mn-lt"/>
                        <a:ea typeface="+mn-ea"/>
                        <a:cs typeface="+mn-cs"/>
                      </a:defRPr>
                    </a:pPr>
                    <a:r>
                      <a:rPr lang="en-US" altLang="zh-CN"/>
                      <a:t>41.81%</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36348.79</a:t>
                    </a:r>
                  </a:p>
                  <a:p>
                    <a:pPr defTabSz="914400">
                      <a:defRPr lang="zh-CN" sz="900" b="0" i="0" u="none" strike="noStrike" kern="1200" baseline="0">
                        <a:solidFill>
                          <a:schemeClr val="tx1">
                            <a:lumMod val="75000"/>
                            <a:lumOff val="25000"/>
                          </a:schemeClr>
                        </a:solidFill>
                        <a:latin typeface="+mn-lt"/>
                        <a:ea typeface="+mn-ea"/>
                        <a:cs typeface="+mn-cs"/>
                      </a:defRPr>
                    </a:pPr>
                    <a:r>
                      <a:rPr lang="en-US" altLang="zh-CN"/>
                      <a:t>58.19%</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数据填列模板.xlsx!$A$40:$A$41</c:f>
              <c:strCache>
                <c:ptCount val="2"/>
                <c:pt idx="0">
                  <c:v>基本支出</c:v>
                </c:pt>
                <c:pt idx="1">
                  <c:v>项目支出</c:v>
                </c:pt>
              </c:strCache>
            </c:strRef>
          </c:cat>
          <c:val>
            <c:numRef>
              <c:f>数据填列模板.xlsx!$B$40:$B$41</c:f>
              <c:numCache>
                <c:formatCode>General</c:formatCode>
                <c:ptCount val="2"/>
                <c:pt idx="0">
                  <c:v>26113.5</c:v>
                </c:pt>
                <c:pt idx="1">
                  <c:v>36348.79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2021-09-09T19:29:00Z</dcterms:created>
  <dc:creator>Administrator</dc:creator>
  <cp:lastModifiedBy>CUK-LD</cp:lastModifiedBy>
  <dcterms:modified xsi:type="dcterms:W3CDTF">2023-10-17T00:17:03Z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74159A25881D42F482A8722175F2940B</vt:lpwstr>
  </property>
</Properties>
</file>