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rPr>
        <w:t>自贡市第三人民医院</w:t>
      </w:r>
    </w:p>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rPr>
        <w:t>2021年度单位决算编制的说明</w:t>
      </w:r>
    </w:p>
    <w:p>
      <w:pPr>
        <w:widowControl/>
        <w:tabs>
          <w:tab w:val="left" w:pos="1932"/>
        </w:tabs>
        <w:jc w:val="left"/>
        <w:rPr>
          <w:rFonts w:ascii="仿宋_GB2312"/>
          <w:sz w:val="28"/>
          <w:szCs w:val="28"/>
        </w:rPr>
      </w:pPr>
      <w:r>
        <w:rPr>
          <w:rFonts w:hint="eastAsia" w:ascii="仿宋_GB2312"/>
          <w:sz w:val="28"/>
          <w:szCs w:val="28"/>
        </w:rPr>
        <w:tab/>
      </w:r>
    </w:p>
    <w:p>
      <w:pPr>
        <w:widowControl/>
        <w:jc w:val="center"/>
        <w:rPr>
          <w:rFonts w:ascii="黑体" w:hAnsi="黑体" w:eastAsia="黑体"/>
          <w:color w:val="000000"/>
          <w:sz w:val="48"/>
          <w:szCs w:val="48"/>
        </w:rPr>
      </w:pPr>
      <w:r>
        <w:rPr>
          <w:rFonts w:hint="eastAsia" w:ascii="黑体" w:hAnsi="黑体" w:eastAsia="黑体"/>
          <w:color w:val="000000"/>
          <w:sz w:val="44"/>
          <w:szCs w:val="44"/>
        </w:rPr>
        <w:t>目录</w:t>
      </w:r>
    </w:p>
    <w:p>
      <w:pPr>
        <w:pStyle w:val="9"/>
        <w:tabs>
          <w:tab w:val="right" w:leader="dot" w:pos="8306"/>
        </w:tabs>
        <w:rPr>
          <w:rFonts w:hint="eastAsia" w:ascii="仿宋_GB2312" w:hAnsi="仿宋_GB2312" w:eastAsia="仿宋_GB2312" w:cs="仿宋_GB2312"/>
          <w:b w:val="0"/>
          <w:bCs w:val="0"/>
          <w:i w:val="0"/>
          <w:iCs w:val="0"/>
          <w:caps/>
          <w:sz w:val="32"/>
          <w:szCs w:val="32"/>
        </w:rPr>
      </w:pPr>
    </w:p>
    <w:p>
      <w:pPr>
        <w:pStyle w:val="9"/>
        <w:tabs>
          <w:tab w:val="right" w:leader="dot" w:pos="8306"/>
        </w:tabs>
        <w:rPr>
          <w:rFonts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TOC \o "1-2" \h \z \u </w:instrText>
      </w:r>
      <w:r>
        <w:rPr>
          <w:rFonts w:hint="eastAsia" w:ascii="仿宋_GB2312" w:hAnsi="仿宋_GB2312" w:eastAsia="仿宋_GB2312" w:cs="仿宋_GB2312"/>
          <w:b w:val="0"/>
          <w:bCs w:val="0"/>
          <w:i w:val="0"/>
          <w:iCs w:val="0"/>
          <w:caps/>
          <w:sz w:val="32"/>
          <w:szCs w:val="32"/>
        </w:rPr>
        <w:fldChar w:fldCharType="separate"/>
      </w:r>
      <w:r>
        <w:fldChar w:fldCharType="begin"/>
      </w:r>
      <w:r>
        <w:instrText xml:space="preserve"> HYPERLINK \l "_Toc7175" </w:instrText>
      </w:r>
      <w:r>
        <w:fldChar w:fldCharType="separate"/>
      </w:r>
      <w:r>
        <w:rPr>
          <w:rFonts w:hint="eastAsia" w:ascii="仿宋_GB2312" w:hAnsi="仿宋_GB2312" w:eastAsia="仿宋_GB2312" w:cs="仿宋_GB2312"/>
          <w:b w:val="0"/>
          <w:bCs w:val="0"/>
          <w:i w:val="0"/>
          <w:iCs w:val="0"/>
          <w:sz w:val="32"/>
          <w:szCs w:val="32"/>
        </w:rPr>
        <w:t>第一部分 单位概况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b w:val="0"/>
          <w:bCs w:val="0"/>
          <w:i w:val="0"/>
          <w:iCs w:val="0"/>
          <w:sz w:val="32"/>
          <w:szCs w:val="32"/>
        </w:rPr>
        <w:fldChar w:fldCharType="end"/>
      </w:r>
    </w:p>
    <w:p>
      <w:pPr>
        <w:pStyle w:val="10"/>
        <w:tabs>
          <w:tab w:val="right" w:leader="dot" w:pos="8306"/>
        </w:tabs>
        <w:rPr>
          <w:rFonts w:ascii="仿宋_GB2312" w:hAnsi="仿宋_GB2312" w:eastAsia="仿宋_GB2312" w:cs="仿宋_GB2312"/>
          <w:b w:val="0"/>
          <w:bCs w:val="0"/>
          <w:sz w:val="32"/>
          <w:szCs w:val="32"/>
        </w:rPr>
      </w:pPr>
      <w:r>
        <w:fldChar w:fldCharType="begin"/>
      </w:r>
      <w:r>
        <w:instrText xml:space="preserve"> HYPERLINK \l "_Toc3572" </w:instrText>
      </w:r>
      <w:r>
        <w:fldChar w:fldCharType="separate"/>
      </w:r>
      <w:r>
        <w:rPr>
          <w:rFonts w:hint="eastAsia" w:ascii="仿宋_GB2312" w:hAnsi="仿宋_GB2312" w:eastAsia="仿宋_GB2312" w:cs="仿宋_GB2312"/>
          <w:b w:val="0"/>
          <w:bCs w:val="0"/>
          <w:sz w:val="32"/>
          <w:szCs w:val="32"/>
        </w:rPr>
        <w:t>一、职能简介</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fldChar w:fldCharType="end"/>
      </w:r>
    </w:p>
    <w:p>
      <w:pPr>
        <w:pStyle w:val="10"/>
        <w:tabs>
          <w:tab w:val="right" w:leader="dot" w:pos="8306"/>
        </w:tabs>
        <w:rPr>
          <w:rFonts w:ascii="仿宋_GB2312" w:hAnsi="仿宋_GB2312" w:eastAsia="仿宋_GB2312" w:cs="仿宋_GB2312"/>
          <w:b w:val="0"/>
          <w:bCs w:val="0"/>
          <w:sz w:val="32"/>
          <w:szCs w:val="32"/>
        </w:rPr>
      </w:pPr>
      <w:r>
        <w:fldChar w:fldCharType="begin"/>
      </w:r>
      <w:r>
        <w:instrText xml:space="preserve"> HYPERLINK \l "_Toc32381" </w:instrText>
      </w:r>
      <w:r>
        <w:fldChar w:fldCharType="separate"/>
      </w:r>
      <w:r>
        <w:rPr>
          <w:rFonts w:hint="eastAsia" w:ascii="仿宋_GB2312" w:hAnsi="仿宋_GB2312" w:eastAsia="仿宋_GB2312" w:cs="仿宋_GB2312"/>
          <w:b w:val="0"/>
          <w:bCs w:val="0"/>
          <w:sz w:val="32"/>
          <w:szCs w:val="32"/>
        </w:rPr>
        <w:t>二、2021年重点工作完成情况</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pPr>
        <w:pStyle w:val="9"/>
        <w:tabs>
          <w:tab w:val="right" w:leader="dot" w:pos="8306"/>
        </w:tabs>
        <w:rPr>
          <w:rFonts w:hint="eastAsia" w:ascii="仿宋_GB2312" w:hAnsi="仿宋_GB2312" w:eastAsia="仿宋_GB2312" w:cs="仿宋_GB2312"/>
          <w:b w:val="0"/>
          <w:bCs w:val="0"/>
          <w:i w:val="0"/>
          <w:iCs w:val="0"/>
          <w:sz w:val="32"/>
          <w:szCs w:val="32"/>
          <w:lang w:val="en-US" w:eastAsia="zh-CN"/>
        </w:rPr>
      </w:pPr>
      <w:r>
        <w:fldChar w:fldCharType="begin"/>
      </w:r>
      <w:r>
        <w:instrText xml:space="preserve"> HYPERLINK \l "_Toc18018" </w:instrText>
      </w:r>
      <w:r>
        <w:fldChar w:fldCharType="separate"/>
      </w:r>
      <w:r>
        <w:rPr>
          <w:rFonts w:hint="eastAsia" w:ascii="仿宋_GB2312" w:hAnsi="仿宋_GB2312" w:eastAsia="仿宋_GB2312" w:cs="仿宋_GB2312"/>
          <w:b w:val="0"/>
          <w:bCs w:val="0"/>
          <w:i w:val="0"/>
          <w:iCs w:val="0"/>
          <w:sz w:val="32"/>
          <w:szCs w:val="32"/>
        </w:rPr>
        <w:t>第二部分 2021年度单位决算情况说明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lang w:val="en-US" w:eastAsia="zh-CN"/>
        </w:rPr>
        <w:t>0</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"_Toc7398" </w:instrText>
      </w:r>
      <w:r>
        <w:fldChar w:fldCharType="separate"/>
      </w:r>
      <w:r>
        <w:rPr>
          <w:rFonts w:hint="eastAsia" w:ascii="仿宋_GB2312" w:hAnsi="仿宋_GB2312" w:eastAsia="仿宋_GB2312" w:cs="仿宋_GB2312"/>
          <w:b w:val="0"/>
          <w:bCs w:val="0"/>
          <w:sz w:val="32"/>
          <w:szCs w:val="32"/>
        </w:rPr>
        <w:t>一、 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0</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"_Toc24241" </w:instrText>
      </w:r>
      <w:r>
        <w:fldChar w:fldCharType="separate"/>
      </w:r>
      <w:r>
        <w:rPr>
          <w:rFonts w:hint="eastAsia" w:ascii="仿宋_GB2312" w:hAnsi="仿宋_GB2312" w:eastAsia="仿宋_GB2312" w:cs="仿宋_GB2312"/>
          <w:b w:val="0"/>
          <w:bCs w:val="0"/>
          <w:sz w:val="32"/>
          <w:szCs w:val="32"/>
        </w:rPr>
        <w:t>二、 收入决算情况说明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0</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"_Toc6526" </w:instrText>
      </w:r>
      <w:r>
        <w:fldChar w:fldCharType="separate"/>
      </w:r>
      <w:r>
        <w:rPr>
          <w:rFonts w:hint="eastAsia" w:ascii="仿宋_GB2312" w:hAnsi="仿宋_GB2312" w:eastAsia="仿宋_GB2312" w:cs="仿宋_GB2312"/>
          <w:b w:val="0"/>
          <w:bCs w:val="0"/>
          <w:sz w:val="32"/>
          <w:szCs w:val="32"/>
        </w:rPr>
        <w:t>三、 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1</w:t>
      </w:r>
    </w:p>
    <w:p>
      <w:pPr>
        <w:pStyle w:val="10"/>
        <w:tabs>
          <w:tab w:val="right" w:leader="dot" w:pos="8306"/>
        </w:tabs>
        <w:rPr>
          <w:rFonts w:ascii="仿宋_GB2312" w:hAnsi="仿宋_GB2312" w:eastAsia="仿宋_GB2312" w:cs="仿宋_GB2312"/>
          <w:b w:val="0"/>
          <w:bCs w:val="0"/>
          <w:sz w:val="32"/>
          <w:szCs w:val="32"/>
        </w:rPr>
      </w:pPr>
      <w:r>
        <w:fldChar w:fldCharType="begin"/>
      </w:r>
      <w:r>
        <w:instrText xml:space="preserve"> HYPERLINK \l "_Toc14334" </w:instrText>
      </w:r>
      <w:r>
        <w:fldChar w:fldCharType="separate"/>
      </w:r>
      <w:r>
        <w:rPr>
          <w:rFonts w:hint="eastAsia" w:ascii="仿宋_GB2312" w:hAnsi="仿宋_GB2312" w:eastAsia="仿宋_GB2312" w:cs="仿宋_GB2312"/>
          <w:b w:val="0"/>
          <w:bCs w:val="0"/>
          <w:sz w:val="32"/>
          <w:szCs w:val="32"/>
        </w:rPr>
        <w:t>四、财政拨款收入支出决算总体情况说明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PAGEREF _Toc14334 \h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fldChar w:fldCharType="end"/>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"_Toc16755" </w:instrText>
      </w:r>
      <w:r>
        <w:fldChar w:fldCharType="separate"/>
      </w:r>
      <w:r>
        <w:rPr>
          <w:rFonts w:hint="eastAsia" w:ascii="仿宋_GB2312" w:hAnsi="仿宋_GB2312" w:eastAsia="仿宋_GB2312" w:cs="仿宋_GB2312"/>
          <w:b w:val="0"/>
          <w:bCs w:val="0"/>
          <w:sz w:val="32"/>
          <w:szCs w:val="32"/>
        </w:rPr>
        <w:t>五、一般公共预算财政拨款支出决算情况说明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2</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"_Toc16675" </w:instrText>
      </w:r>
      <w:r>
        <w:fldChar w:fldCharType="separate"/>
      </w:r>
      <w:r>
        <w:rPr>
          <w:rFonts w:hint="eastAsia" w:ascii="仿宋_GB2312" w:hAnsi="仿宋_GB2312" w:eastAsia="仿宋_GB2312" w:cs="仿宋_GB2312"/>
          <w:b w:val="0"/>
          <w:bCs w:val="0"/>
          <w:sz w:val="32"/>
          <w:szCs w:val="32"/>
        </w:rPr>
        <w:t>六、一般公共预算财政拨款基本支出决算情况说明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6</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"_Toc19737" </w:instrText>
      </w:r>
      <w:r>
        <w:fldChar w:fldCharType="separate"/>
      </w:r>
      <w:r>
        <w:rPr>
          <w:rFonts w:hint="eastAsia" w:ascii="仿宋_GB2312" w:hAnsi="仿宋_GB2312" w:eastAsia="仿宋_GB2312" w:cs="仿宋_GB2312"/>
          <w:b w:val="0"/>
          <w:bCs w:val="0"/>
          <w:sz w:val="32"/>
          <w:szCs w:val="32"/>
        </w:rPr>
        <w:t>七、“三公”经费财政拨款支出决算情况说明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6</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"_Toc10901" </w:instrText>
      </w:r>
      <w:r>
        <w:fldChar w:fldCharType="separate"/>
      </w:r>
      <w:r>
        <w:rPr>
          <w:rFonts w:hint="eastAsia" w:ascii="仿宋_GB2312" w:hAnsi="仿宋_GB2312" w:eastAsia="仿宋_GB2312" w:cs="仿宋_GB2312"/>
          <w:b w:val="0"/>
          <w:bCs w:val="0"/>
          <w:sz w:val="32"/>
          <w:szCs w:val="32"/>
        </w:rPr>
        <w:t>八、政府性基金预算支出决算情况说明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"_Toc26293" </w:instrText>
      </w:r>
      <w:r>
        <w:fldChar w:fldCharType="separate"/>
      </w:r>
      <w:r>
        <w:rPr>
          <w:rFonts w:hint="eastAsia" w:ascii="仿宋_GB2312" w:hAnsi="仿宋_GB2312" w:eastAsia="仿宋_GB2312" w:cs="仿宋_GB2312"/>
          <w:b w:val="0"/>
          <w:bCs w:val="0"/>
          <w:sz w:val="32"/>
          <w:szCs w:val="32"/>
        </w:rPr>
        <w:t>九、 国有资本经营预算支出决算情况说明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"_Toc27271" </w:instrText>
      </w:r>
      <w:r>
        <w:fldChar w:fldCharType="separate"/>
      </w:r>
      <w:r>
        <w:rPr>
          <w:rFonts w:hint="eastAsia" w:ascii="仿宋_GB2312" w:hAnsi="仿宋_GB2312" w:eastAsia="仿宋_GB2312" w:cs="仿宋_GB2312"/>
          <w:b w:val="0"/>
          <w:bCs w:val="0"/>
          <w:sz w:val="32"/>
          <w:szCs w:val="32"/>
        </w:rPr>
        <w:t>十、其他重要事项的情况说明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9"/>
        <w:tabs>
          <w:tab w:val="right" w:leader="dot" w:pos="8306"/>
        </w:tabs>
        <w:rPr>
          <w:rFonts w:hint="default" w:ascii="仿宋_GB2312" w:hAnsi="仿宋_GB2312" w:eastAsia="仿宋_GB2312" w:cs="仿宋_GB2312"/>
          <w:b w:val="0"/>
          <w:bCs w:val="0"/>
          <w:i w:val="0"/>
          <w:iCs w:val="0"/>
          <w:sz w:val="32"/>
          <w:szCs w:val="32"/>
          <w:lang w:val="en-US" w:eastAsia="zh-CN"/>
        </w:rPr>
      </w:pPr>
      <w:r>
        <w:fldChar w:fldCharType="begin"/>
      </w:r>
      <w:r>
        <w:instrText xml:space="preserve"> HYPERLINK \l "_Toc21676" </w:instrText>
      </w:r>
      <w:r>
        <w:fldChar w:fldCharType="separate"/>
      </w:r>
      <w:r>
        <w:rPr>
          <w:rFonts w:hint="eastAsia" w:ascii="仿宋_GB2312" w:hAnsi="仿宋_GB2312" w:eastAsia="仿宋_GB2312" w:cs="仿宋_GB2312"/>
          <w:b w:val="0"/>
          <w:bCs w:val="0"/>
          <w:i w:val="0"/>
          <w:iCs w:val="0"/>
          <w:sz w:val="32"/>
          <w:szCs w:val="32"/>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lang w:val="en-US" w:eastAsia="zh-CN"/>
        </w:rPr>
        <w:t>0</w:t>
      </w:r>
    </w:p>
    <w:p>
      <w:pPr>
        <w:pStyle w:val="9"/>
        <w:tabs>
          <w:tab w:val="right" w:leader="dot" w:pos="8306"/>
        </w:tabs>
        <w:rPr>
          <w:rFonts w:hint="eastAsia" w:ascii="仿宋_GB2312" w:hAnsi="仿宋_GB2312" w:eastAsia="仿宋_GB2312" w:cs="仿宋_GB2312"/>
          <w:b w:val="0"/>
          <w:bCs w:val="0"/>
          <w:i w:val="0"/>
          <w:iCs w:val="0"/>
          <w:sz w:val="32"/>
          <w:szCs w:val="32"/>
          <w:lang w:eastAsia="zh-CN"/>
        </w:rPr>
      </w:pPr>
      <w:r>
        <w:fldChar w:fldCharType="begin"/>
      </w:r>
      <w:r>
        <w:instrText xml:space="preserve"> HYPERLINK \l "_Toc6879" </w:instrText>
      </w:r>
      <w:r>
        <w:fldChar w:fldCharType="separate"/>
      </w:r>
      <w:r>
        <w:rPr>
          <w:rFonts w:hint="eastAsia" w:ascii="仿宋_GB2312" w:hAnsi="仿宋_GB2312" w:eastAsia="仿宋_GB2312" w:cs="仿宋_GB2312"/>
          <w:b w:val="0"/>
          <w:bCs w:val="0"/>
          <w:i w:val="0"/>
          <w:iCs w:val="0"/>
          <w:sz w:val="32"/>
          <w:szCs w:val="32"/>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0"/>
        <w:tabs>
          <w:tab w:val="right" w:leader="dot" w:pos="8306"/>
        </w:tabs>
        <w:rPr>
          <w:rFonts w:hint="eastAsia" w:ascii="仿宋_GB2312" w:hAnsi="仿宋_GB2312" w:eastAsia="仿宋_GB2312" w:cs="仿宋_GB2312"/>
          <w:b w:val="0"/>
          <w:bCs w:val="0"/>
          <w:sz w:val="32"/>
          <w:szCs w:val="32"/>
          <w:lang w:eastAsia="zh-CN"/>
        </w:rPr>
      </w:pPr>
      <w:r>
        <w:fldChar w:fldCharType="begin"/>
      </w:r>
      <w:r>
        <w:instrText xml:space="preserve"> HYPERLINK \l "_Toc18966" </w:instrText>
      </w:r>
      <w:r>
        <w:fldChar w:fldCharType="separate"/>
      </w: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aps/>
          <w:sz w:val="32"/>
          <w:szCs w:val="32"/>
          <w:lang w:val="en-US" w:eastAsia="zh-CN"/>
        </w:rPr>
        <w:t>4</w:t>
      </w:r>
    </w:p>
    <w:p>
      <w:pPr>
        <w:pStyle w:val="9"/>
        <w:tabs>
          <w:tab w:val="right" w:leader="dot" w:pos="8306"/>
        </w:tabs>
        <w:rPr>
          <w:rFonts w:hint="eastAsia" w:ascii="仿宋_GB2312" w:hAnsi="仿宋_GB2312" w:eastAsia="仿宋_GB2312" w:cs="仿宋_GB2312"/>
          <w:b w:val="0"/>
          <w:bCs w:val="0"/>
          <w:i w:val="0"/>
          <w:iCs w:val="0"/>
          <w:sz w:val="32"/>
          <w:szCs w:val="32"/>
          <w:lang w:val="en-US" w:eastAsia="zh-CN"/>
        </w:rPr>
      </w:pPr>
      <w:r>
        <w:fldChar w:fldCharType="begin"/>
      </w:r>
      <w:r>
        <w:instrText xml:space="preserve"> HYPERLINK \l "_Toc18418" </w:instrText>
      </w:r>
      <w:r>
        <w:fldChar w:fldCharType="separate"/>
      </w:r>
      <w:r>
        <w:rPr>
          <w:rFonts w:hint="eastAsia" w:ascii="仿宋_GB2312" w:hAnsi="仿宋_GB2312" w:eastAsia="仿宋_GB2312" w:cs="仿宋_GB2312"/>
          <w:b w:val="0"/>
          <w:bCs w:val="0"/>
          <w:i w:val="0"/>
          <w:iCs w:val="0"/>
          <w:sz w:val="32"/>
          <w:szCs w:val="32"/>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"_Toc14600" </w:instrText>
      </w:r>
      <w:r>
        <w:fldChar w:fldCharType="separate"/>
      </w:r>
      <w:r>
        <w:rPr>
          <w:rFonts w:hint="eastAsia" w:ascii="仿宋_GB2312" w:hAnsi="仿宋_GB2312" w:eastAsia="仿宋_GB2312" w:cs="仿宋_GB2312"/>
          <w:b w:val="0"/>
          <w:bCs w:val="0"/>
          <w:sz w:val="32"/>
          <w:szCs w:val="32"/>
        </w:rPr>
        <w:t>一、收入支出决算总表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"_Toc15925" </w:instrText>
      </w:r>
      <w:r>
        <w:fldChar w:fldCharType="separate"/>
      </w:r>
      <w:r>
        <w:rPr>
          <w:rFonts w:hint="eastAsia" w:ascii="仿宋_GB2312" w:hAnsi="仿宋_GB2312" w:eastAsia="仿宋_GB2312" w:cs="仿宋_GB2312"/>
          <w:b w:val="0"/>
          <w:bCs w:val="0"/>
          <w:sz w:val="32"/>
          <w:szCs w:val="32"/>
        </w:rPr>
        <w:t>二、收入决算表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"_Toc7187" </w:instrText>
      </w:r>
      <w:r>
        <w:fldChar w:fldCharType="separate"/>
      </w:r>
      <w:r>
        <w:rPr>
          <w:rFonts w:hint="eastAsia" w:ascii="仿宋_GB2312" w:hAnsi="仿宋_GB2312" w:eastAsia="仿宋_GB2312" w:cs="仿宋_GB2312"/>
          <w:b w:val="0"/>
          <w:bCs w:val="0"/>
          <w:sz w:val="32"/>
          <w:szCs w:val="32"/>
        </w:rPr>
        <w:t>三、支出决算表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"_Toc5686" </w:instrText>
      </w:r>
      <w:r>
        <w:fldChar w:fldCharType="separate"/>
      </w:r>
      <w:r>
        <w:rPr>
          <w:rFonts w:hint="eastAsia" w:ascii="仿宋_GB2312" w:hAnsi="仿宋_GB2312" w:eastAsia="仿宋_GB2312" w:cs="仿宋_GB2312"/>
          <w:b w:val="0"/>
          <w:bCs w:val="0"/>
          <w:sz w:val="32"/>
          <w:szCs w:val="32"/>
        </w:rPr>
        <w:t>四、财政拨款收入支出决算总表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"_Toc6343" </w:instrText>
      </w:r>
      <w:r>
        <w:fldChar w:fldCharType="separate"/>
      </w:r>
      <w:r>
        <w:rPr>
          <w:rFonts w:hint="eastAsia" w:ascii="仿宋_GB2312" w:hAnsi="仿宋_GB2312" w:eastAsia="仿宋_GB2312" w:cs="仿宋_GB2312"/>
          <w:b w:val="0"/>
          <w:bCs w:val="0"/>
          <w:sz w:val="32"/>
          <w:szCs w:val="32"/>
        </w:rPr>
        <w:t>五、财政拨款支出决算明细表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"_Toc31131" </w:instrText>
      </w:r>
      <w:r>
        <w:fldChar w:fldCharType="separate"/>
      </w:r>
      <w:r>
        <w:rPr>
          <w:rFonts w:hint="eastAsia" w:ascii="仿宋_GB2312" w:hAnsi="仿宋_GB2312" w:eastAsia="仿宋_GB2312" w:cs="仿宋_GB2312"/>
          <w:b w:val="0"/>
          <w:bCs w:val="0"/>
          <w:sz w:val="32"/>
          <w:szCs w:val="32"/>
        </w:rPr>
        <w:t>六、一般公共预算财政拨款支出决算表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"_Toc11064" </w:instrText>
      </w:r>
      <w:r>
        <w:fldChar w:fldCharType="separate"/>
      </w:r>
      <w:r>
        <w:rPr>
          <w:rFonts w:hint="eastAsia" w:ascii="仿宋_GB2312" w:hAnsi="仿宋_GB2312" w:eastAsia="仿宋_GB2312" w:cs="仿宋_GB2312"/>
          <w:b w:val="0"/>
          <w:bCs w:val="0"/>
          <w:sz w:val="32"/>
          <w:szCs w:val="32"/>
        </w:rPr>
        <w:t>七、一般公共预算财政拨款支出决算明细表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"_Toc12549" </w:instrText>
      </w:r>
      <w:r>
        <w:fldChar w:fldCharType="separate"/>
      </w:r>
      <w:r>
        <w:rPr>
          <w:rFonts w:hint="eastAsia" w:ascii="仿宋_GB2312" w:hAnsi="仿宋_GB2312" w:eastAsia="仿宋_GB2312" w:cs="仿宋_GB2312"/>
          <w:b w:val="0"/>
          <w:bCs w:val="0"/>
          <w:sz w:val="32"/>
          <w:szCs w:val="32"/>
        </w:rPr>
        <w:t>八、一般公共预算财政拨款基本支出决算表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"_Toc19168" </w:instrText>
      </w:r>
      <w:r>
        <w:fldChar w:fldCharType="separate"/>
      </w:r>
      <w:r>
        <w:rPr>
          <w:rFonts w:hint="eastAsia" w:ascii="仿宋_GB2312" w:hAnsi="仿宋_GB2312" w:eastAsia="仿宋_GB2312" w:cs="仿宋_GB2312"/>
          <w:b w:val="0"/>
          <w:bCs w:val="0"/>
          <w:sz w:val="32"/>
          <w:szCs w:val="32"/>
        </w:rPr>
        <w:t>九、一般公共预算财政拨款项目支出决算表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"_Toc18941" </w:instrText>
      </w:r>
      <w:r>
        <w:fldChar w:fldCharType="separate"/>
      </w:r>
      <w:r>
        <w:rPr>
          <w:rFonts w:hint="eastAsia" w:ascii="仿宋_GB2312" w:hAnsi="仿宋_GB2312" w:eastAsia="仿宋_GB2312" w:cs="仿宋_GB2312"/>
          <w:b w:val="0"/>
          <w:bCs w:val="0"/>
          <w:sz w:val="32"/>
          <w:szCs w:val="32"/>
        </w:rPr>
        <w:t>十、一般公共预算财政拨款“三公”经费支出决算表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"_Toc15180" </w:instrText>
      </w:r>
      <w:r>
        <w:fldChar w:fldCharType="separate"/>
      </w:r>
      <w:r>
        <w:rPr>
          <w:rFonts w:hint="eastAsia" w:ascii="仿宋_GB2312" w:hAnsi="仿宋_GB2312" w:eastAsia="仿宋_GB2312" w:cs="仿宋_GB2312"/>
          <w:b w:val="0"/>
          <w:bCs w:val="0"/>
          <w:sz w:val="32"/>
          <w:szCs w:val="32"/>
        </w:rPr>
        <w:t>十一、政府性基金预算财政拨款收入支出决算表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"_Toc23897" </w:instrText>
      </w:r>
      <w:r>
        <w:fldChar w:fldCharType="separate"/>
      </w:r>
      <w:r>
        <w:rPr>
          <w:rFonts w:hint="eastAsia" w:ascii="仿宋_GB2312" w:hAnsi="仿宋_GB2312" w:eastAsia="仿宋_GB2312" w:cs="仿宋_GB2312"/>
          <w:b w:val="0"/>
          <w:bCs w:val="0"/>
          <w:sz w:val="32"/>
          <w:szCs w:val="32"/>
        </w:rPr>
        <w:t>十二、政府性基金预算财政拨款“三公”经费支出决算表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"_Toc3960" </w:instrText>
      </w:r>
      <w:r>
        <w:fldChar w:fldCharType="separate"/>
      </w:r>
      <w:r>
        <w:rPr>
          <w:rFonts w:hint="eastAsia" w:ascii="仿宋_GB2312" w:hAnsi="仿宋_GB2312" w:eastAsia="仿宋_GB2312" w:cs="仿宋_GB2312"/>
          <w:b w:val="0"/>
          <w:bCs w:val="0"/>
          <w:sz w:val="32"/>
          <w:szCs w:val="32"/>
        </w:rPr>
        <w:t>十三、国有资本经营预算财政拨款收入支出决算表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pStyle w:val="10"/>
        <w:tabs>
          <w:tab w:val="right" w:leader="dot" w:pos="8306"/>
        </w:tabs>
        <w:rPr>
          <w:rFonts w:hint="eastAsia" w:ascii="仿宋_GB2312" w:hAnsi="仿宋_GB2312" w:eastAsia="仿宋_GB2312" w:cs="仿宋_GB2312"/>
          <w:b w:val="0"/>
          <w:bCs w:val="0"/>
          <w:sz w:val="32"/>
          <w:szCs w:val="32"/>
          <w:lang w:val="en-US" w:eastAsia="zh-CN"/>
        </w:rPr>
      </w:pPr>
      <w:r>
        <w:fldChar w:fldCharType="begin"/>
      </w:r>
      <w:r>
        <w:instrText xml:space="preserve"> HYPERLINK \l "_Toc441" </w:instrText>
      </w:r>
      <w:r>
        <w:fldChar w:fldCharType="separate"/>
      </w:r>
      <w:r>
        <w:rPr>
          <w:rFonts w:hint="eastAsia" w:ascii="仿宋_GB2312" w:hAnsi="仿宋_GB2312" w:eastAsia="仿宋_GB2312" w:cs="仿宋_GB2312"/>
          <w:b w:val="0"/>
          <w:bCs w:val="0"/>
          <w:sz w:val="32"/>
          <w:szCs w:val="32"/>
        </w:rPr>
        <w:t>十四、国有资本经营预算财政拨款支出决算表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8</w:t>
      </w:r>
    </w:p>
    <w:p>
      <w:pPr>
        <w:ind w:firstLine="2400" w:firstLineChars="750"/>
        <w:rPr>
          <w:rFonts w:ascii="仿宋_GB2312" w:hAnsi="仿宋"/>
          <w:color w:val="FF0000"/>
          <w:szCs w:val="32"/>
        </w:rPr>
      </w:pPr>
      <w:r>
        <w:rPr>
          <w:rFonts w:hint="eastAsia" w:ascii="仿宋_GB2312" w:hAnsi="仿宋_GB2312" w:cs="仿宋_GB2312"/>
          <w:caps/>
          <w:szCs w:val="32"/>
        </w:rPr>
        <w:fldChar w:fldCharType="end"/>
      </w:r>
    </w:p>
    <w:p>
      <w:pPr>
        <w:pStyle w:val="3"/>
        <w:jc w:val="center"/>
        <w:rPr>
          <w:rFonts w:ascii="黑体" w:hAnsi="黑体" w:eastAsia="黑体"/>
          <w:b w:val="0"/>
        </w:rPr>
        <w:sectPr>
          <w:headerReference r:id="rId3" w:type="default"/>
          <w:footerReference r:id="rId4" w:type="default"/>
          <w:pgSz w:w="11906" w:h="16838"/>
          <w:pgMar w:top="1440" w:right="1800" w:bottom="998" w:left="1800" w:header="851" w:footer="992" w:gutter="0"/>
          <w:pgNumType w:fmt="decimal" w:start="1"/>
          <w:cols w:space="425" w:num="1"/>
          <w:docGrid w:type="lines" w:linePitch="312" w:charSpace="0"/>
        </w:sectPr>
      </w:pPr>
      <w:bookmarkStart w:id="0" w:name="_Toc7175"/>
    </w:p>
    <w:p>
      <w:pPr>
        <w:pStyle w:val="3"/>
        <w:jc w:val="center"/>
        <w:rPr>
          <w:rFonts w:ascii="黑体" w:eastAsia="黑体"/>
          <w:color w:val="000000"/>
          <w:szCs w:val="32"/>
        </w:rPr>
      </w:pPr>
      <w:r>
        <w:rPr>
          <w:rFonts w:hint="eastAsia" w:ascii="黑体" w:hAnsi="黑体" w:eastAsia="黑体"/>
          <w:b w:val="0"/>
        </w:rPr>
        <w:t>第一部分</w:t>
      </w:r>
      <w:r>
        <w:rPr>
          <w:rStyle w:val="16"/>
          <w:rFonts w:hint="eastAsia" w:ascii="黑体" w:hAnsi="黑体" w:eastAsia="黑体"/>
          <w:b w:val="0"/>
          <w:bCs w:val="0"/>
        </w:rPr>
        <w:t>单位概况</w:t>
      </w:r>
      <w:bookmarkEnd w:id="0"/>
    </w:p>
    <w:p>
      <w:pPr>
        <w:pStyle w:val="4"/>
        <w:rPr>
          <w:rStyle w:val="20"/>
          <w:rFonts w:ascii="黑体" w:hAnsi="黑体" w:eastAsia="黑体"/>
          <w:b w:val="0"/>
          <w:bCs w:val="0"/>
        </w:rPr>
      </w:pPr>
      <w:bookmarkStart w:id="1" w:name="_Toc3572"/>
      <w:bookmarkStart w:id="2" w:name="_Toc15377197"/>
      <w:bookmarkStart w:id="3" w:name="_Toc15396600"/>
      <w:r>
        <w:rPr>
          <w:rStyle w:val="20"/>
          <w:rFonts w:hint="eastAsia" w:ascii="黑体" w:hAnsi="黑体" w:eastAsia="黑体"/>
          <w:b w:val="0"/>
          <w:bCs w:val="0"/>
        </w:rPr>
        <w:t>一、职能简介</w:t>
      </w:r>
      <w:bookmarkEnd w:id="1"/>
    </w:p>
    <w:p>
      <w:pPr>
        <w:ind w:firstLine="560" w:firstLineChars="200"/>
        <w:rPr>
          <w:rFonts w:ascii="仿宋" w:hAnsi="仿宋" w:eastAsia="仿宋" w:cs="仿宋"/>
          <w:sz w:val="28"/>
          <w:szCs w:val="28"/>
        </w:rPr>
      </w:pPr>
      <w:r>
        <w:rPr>
          <w:rFonts w:hint="eastAsia" w:ascii="仿宋" w:hAnsi="仿宋" w:eastAsia="仿宋" w:cs="仿宋"/>
          <w:sz w:val="28"/>
          <w:szCs w:val="28"/>
        </w:rPr>
        <w:t>（一）主要职能</w:t>
      </w:r>
    </w:p>
    <w:p>
      <w:pPr>
        <w:ind w:firstLine="560" w:firstLineChars="200"/>
        <w:rPr>
          <w:rFonts w:ascii="仿宋" w:hAnsi="仿宋" w:eastAsia="仿宋" w:cs="仿宋"/>
          <w:sz w:val="28"/>
          <w:szCs w:val="28"/>
        </w:rPr>
      </w:pPr>
      <w:r>
        <w:rPr>
          <w:rFonts w:hint="eastAsia" w:ascii="仿宋" w:hAnsi="仿宋" w:eastAsia="仿宋" w:cs="仿宋"/>
          <w:sz w:val="28"/>
          <w:szCs w:val="28"/>
        </w:rPr>
        <w:t>医院地处自贡市城乡结合部贡井区，是自贡西部区域医疗卫生中心，承担着自贡辖区及周边荣县、威远等区县广大人民群众的诊治、康复、保健、预防，以及危急重症疾病的救治，以及区域内医疗业务技术指导和临床教学等工作任务。</w:t>
      </w:r>
    </w:p>
    <w:p>
      <w:pPr>
        <w:ind w:firstLine="560" w:firstLineChars="200"/>
        <w:rPr>
          <w:rFonts w:ascii="仿宋" w:hAnsi="仿宋" w:eastAsia="仿宋" w:cs="仿宋"/>
          <w:sz w:val="28"/>
          <w:szCs w:val="28"/>
        </w:rPr>
      </w:pPr>
      <w:r>
        <w:rPr>
          <w:rFonts w:hint="eastAsia" w:ascii="仿宋" w:hAnsi="仿宋" w:eastAsia="仿宋" w:cs="仿宋"/>
          <w:sz w:val="28"/>
          <w:szCs w:val="28"/>
        </w:rPr>
        <w:t>（二）医院简介</w:t>
      </w:r>
    </w:p>
    <w:p>
      <w:pPr>
        <w:ind w:firstLine="560" w:firstLineChars="200"/>
        <w:rPr>
          <w:rFonts w:ascii="仿宋" w:hAnsi="仿宋" w:eastAsia="仿宋" w:cs="仿宋"/>
          <w:sz w:val="28"/>
          <w:szCs w:val="28"/>
        </w:rPr>
      </w:pPr>
      <w:r>
        <w:rPr>
          <w:rFonts w:hint="eastAsia" w:ascii="仿宋" w:hAnsi="仿宋" w:eastAsia="仿宋" w:cs="仿宋"/>
          <w:sz w:val="28"/>
          <w:szCs w:val="28"/>
        </w:rPr>
        <w:t>医院始建于1950年，是一所集医、教、研、防为一体，专科特色突出的园林式国家三级甲等综合性医院、国家级“爱婴医院”、四川省高等医学院校临床教学基地、四川省首批护士规范化培训基地、建立健全现代医院管理制度试点医院；由我院牵头的医共体被国家卫健委确定为县域内紧密型医共体示范点。曾先后荣获“自贡市最佳文明单位”“自贡市委‘四好’领导班子”“先进党组织”“全省卫生系统民主评议行风工作成效显著单位”“全省卫生系统先进集体”和“全省城乡医疗卫生对口支援工作表现突出集体”等荣誉称号。医院现有占地面积56亩，规划用地85亩，编制床位1200张，开放床位1056张。</w:t>
      </w:r>
    </w:p>
    <w:p>
      <w:pPr>
        <w:ind w:firstLine="560" w:firstLineChars="200"/>
        <w:rPr>
          <w:rFonts w:ascii="仿宋" w:hAnsi="仿宋" w:eastAsia="仿宋" w:cs="仿宋"/>
          <w:sz w:val="28"/>
          <w:szCs w:val="28"/>
        </w:rPr>
      </w:pPr>
      <w:r>
        <w:rPr>
          <w:rFonts w:hint="eastAsia" w:ascii="仿宋" w:hAnsi="仿宋" w:eastAsia="仿宋" w:cs="仿宋"/>
          <w:sz w:val="28"/>
          <w:szCs w:val="28"/>
        </w:rPr>
        <w:t>医院拥有CT、核磁共振、DSA、乳腺钼靶X线机、DR和CR成像系统、移动C臂X光机、彩超、全自动生化分析仪、超声内镜、胶囊内镜、小肠镜、各系统腔镜、血滤机、血透机、连续性血液净化装置等一批先进实用的高精尖设备，有全省一流的PCR实验室。</w:t>
      </w:r>
    </w:p>
    <w:p>
      <w:pPr>
        <w:ind w:firstLine="560" w:firstLineChars="200"/>
        <w:rPr>
          <w:rFonts w:ascii="仿宋" w:hAnsi="仿宋" w:eastAsia="仿宋" w:cs="仿宋"/>
          <w:sz w:val="28"/>
          <w:szCs w:val="28"/>
        </w:rPr>
      </w:pPr>
      <w:r>
        <w:rPr>
          <w:rFonts w:hint="eastAsia" w:ascii="仿宋" w:hAnsi="仿宋" w:eastAsia="仿宋" w:cs="仿宋"/>
          <w:sz w:val="28"/>
          <w:szCs w:val="28"/>
        </w:rPr>
        <w:t>医院拥有国家级胸痛中心和高级卒中中心；省级重点专科：消化内科、肾病内科、心血管内科、胸外科、检验科；市级重点专科：骨科、儿科、耳鼻咽喉头颈外科、呼吸内科、护理学、神经内科、神经外科、康复科、眼科、药剂科；市级质控中心：自贡市肾病医疗质量控制中心、自贡市胸外科质量控制中心、自贡市心内科医疗质量控制中心、自贡市药事质量管理控制中心；牵头组建了自贡市肾病专科联盟和贡井区紧密型医共体；微创技术独具特色和优势，享誉川南。</w:t>
      </w:r>
    </w:p>
    <w:p>
      <w:pPr>
        <w:ind w:firstLine="560" w:firstLineChars="200"/>
        <w:rPr>
          <w:rFonts w:ascii="仿宋" w:hAnsi="仿宋" w:eastAsia="仿宋" w:cs="仿宋"/>
          <w:sz w:val="28"/>
          <w:szCs w:val="28"/>
        </w:rPr>
      </w:pPr>
      <w:r>
        <w:rPr>
          <w:rFonts w:hint="eastAsia" w:ascii="仿宋" w:hAnsi="仿宋" w:eastAsia="仿宋" w:cs="仿宋"/>
          <w:sz w:val="28"/>
          <w:szCs w:val="28"/>
        </w:rPr>
        <w:t>医院坚持“救死扶伤，全心全意为人民健康服务”的宗旨，秉承“以人为本、病人至上，让病人看得起病、看得好病、放心看病、满意看病”的服务理念，实施“质量建院、人才立院、科技兴院、文化强院”和“特色品牌”战略，不断加强医院内涵建设，提升医院的管理、质量和服务水平，满足人民群众日益增长的医疗服务需求，医院的社会形象日益提升，受到社会各界和病员群众的广泛赞誉。</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（三）机构设置 </w:t>
      </w:r>
    </w:p>
    <w:p>
      <w:pPr>
        <w:spacing w:line="580" w:lineRule="exact"/>
        <w:ind w:firstLine="560" w:firstLineChars="200"/>
        <w:rPr>
          <w:rFonts w:ascii="仿宋_GB2312"/>
          <w:sz w:val="30"/>
          <w:szCs w:val="30"/>
        </w:rPr>
      </w:pPr>
      <w:r>
        <w:rPr>
          <w:rFonts w:hint="eastAsia" w:ascii="仿宋" w:hAnsi="仿宋" w:eastAsia="仿宋" w:cs="仿宋"/>
          <w:sz w:val="28"/>
          <w:szCs w:val="28"/>
        </w:rPr>
        <w:t>医院属自贡市卫生健康委员会下属二级单位 ，设置23个职能科室，分别为：党委办公室（统战部）、纪检监察室、宣传科、组织人事科、行政办公室、工会、团委、事业发展科、医务科、医患关系科、医疗质量管理科（病案科）、科教科、护理部、医院感染管理科（疾病预防控制科、预防保健科）、门诊办公室、审计科、财务科、医保与价格管理科、武装保卫科、信息科、计算机中心、采购科、后勤保障部（医学装备科、总务科、项目办）；设置35个临床、医技科室：消化内科、心血管内科、肾病内科、血透室、骨科、妇产科、胸外科、普外科、神经内科、呼吸与危重症医学科、老年医学科、内分泌科、肿瘤血液科、耳鼻咽喉科、眼科、儿科、新生儿重症监护室、神经外科、烧伤整形外科、泌尿外科、皮肤科、肝胆外科、血管外科、康复医学科、中医科、感染性疾病科、疼痛科、重症监护室、口腔科、检验科、输血科、病理科、超声医学科、心电图室、放射科等。</w:t>
      </w:r>
    </w:p>
    <w:p>
      <w:pPr>
        <w:pStyle w:val="4"/>
        <w:rPr>
          <w:rFonts w:ascii="黑体" w:hAnsi="黑体" w:eastAsia="黑体"/>
          <w:b w:val="0"/>
        </w:rPr>
      </w:pPr>
      <w:bookmarkStart w:id="4" w:name="_Toc32381"/>
      <w:r>
        <w:rPr>
          <w:rFonts w:hint="eastAsia" w:ascii="黑体" w:hAnsi="黑体" w:eastAsia="黑体"/>
          <w:b w:val="0"/>
        </w:rPr>
        <w:t>二、2021年重点工作</w:t>
      </w:r>
      <w:bookmarkEnd w:id="2"/>
      <w:bookmarkEnd w:id="3"/>
      <w:r>
        <w:rPr>
          <w:rFonts w:hint="eastAsia" w:ascii="黑体" w:hAnsi="黑体" w:eastAsia="黑体"/>
          <w:b w:val="0"/>
        </w:rPr>
        <w:t>完成情况</w:t>
      </w:r>
      <w:bookmarkEnd w:id="4"/>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（一）强基固本，笃行实做，党建工作全面加强</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1.抓好政治建设。党委班子认真履行管党治党政治责任，党委书记认真履行党建“第一责任人”职责，领导干部认真履行党建工作“一岗双责”。严格贯彻执行党委领导下的院长负责制，涉及医院改革发展稳定、三重一大”等事项由党委会议集体决策。进一步健全党委书记及院长定期沟通机制，做到院长办公会及党委会议题党政主要领导提前有效沟通。</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2.抓好思想引领。制定《党史学习教育实施方案》，成立党史学习教育领导小组、学习教育办公室，专人专抓教育工作开展。印发《“解放思想大讨论”活动实施方案》，开展“群众困惑我来解，我为群众办实事”破难行动，修订《院领导接待日制度》。印发《2021年贯彻落实党委意识形态工作责任制实施方案》，抓好意识形态领域工作。</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3.完善基层党组织体系。做好党委委员增补、联科党总支部委员增补及4个党支部委员增补工作，配齐党组织班子。成立临时党支部（门急诊大楼项目），保障医院门急诊大楼建设项目有序有力推进。推进“最强支部”创建。</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4.抓好党建业务融合工作。从党支部调研发现问题入手，通过组建以支部为单位的临时工作组，由党委办牵头组织党员及骨干，协助相关支部以学习坊形式进行问题原因分析，流程再造，孵化具有操作性的运行模式，再到党员先行试点，最后做到全院成熟推广执行。</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5.严格落实全面从严治党主体责任。医院党委班子认真对照全面从严治党主体责任清单、“一把手”和领导班子“1+3”监督规范等制度履行责任。认真开展“以案促改”干部警示教育会及2021年党建党风行风工作部署会，做到党风廉政建设工作整体有部署。</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（二）聚焦目标，抢抓机遇，公立医院改革扎实推进</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1.深入推进医共体建设。在全市率先成立了医共体功能型党委。建立了人力资源、财务、后勤、医疗业务和健康服务等5个管理中心。构建了“123+N”服务体系，依托家医签约着重抓好“两病”管理，开设两病“一卡通”绿色通道，提供个性化治疗方案，实现重点人群管理关口前移。通过带量采购、统一配送，降低采购成本，促进医共体的协同发展，实行“人、财、物”的统一管理。</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2.持续推动三级公立医院绩效考核工作。以公立医院绩效考核为契机，深挖指标内涵、细化责任分工，围绕考核重点与目标，逐个梳理分析，制定改进措施。同时充分发挥绩效考核“指挥棒”作用，建立考核结果运用机制，变被动管理为自觉行动，激发内生动力，促进指标内涵提升。</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3.积极推进绩效工资改革。针对医院原有绩效工资分配方案结构不合理、鼓励重点不突出、考核体系不完善的问题，实施绩效工资改革。强化分配激励与约束功能，建立维护公益性、调动积极性、保障可持续的运行新机制和重实绩、重贡献、向优秀人才和临床一线倾斜的分配激励机制，合理拉开档次。行政后勤在积分量化绩效分配体系的基础上，新增OKR管理绩效，建立更加科学合理的绩效分配激励机制。</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（三）落实责任，精益求精，质量与安全管理不断强化</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1.医疗质量管理更趋完善。加强医疗质量与安全管理，制定并实施《单病种质量管理与控制工作实施方案》等质量改进方案，推动医疗质量安全改进目标正向变化。围绕首诊负责制、疑难病例讨论制度等18项医疗管理核心制度开展覆盖各科室的考核评价。以首台手术准点开台专项活动为切口，开展围手术期专项治理，截至目前，首台手术准点开台率达100%。</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2.扎实做好疫情防控工作。调整了医院应对新冠病毒肺炎疫情工作领导小组、工作专班，进一步明确了各小组及人员工作职责，实行领导分片包干责任制，根据疫情形势变化启用专班督查工作。制定《发热患者闭环CT检查工作流程》《红黄码人员管理流程》《收治新冠肺炎病房腾空预案》等预案、流程和规定等。建立每日疫情风险摸排工作制度，对全院住院患者及陪护、工作人员（含家属）开展疫情前置摸排,提前落实管控措施。</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3.紧抓安全生产工作。印发了《2021年安全生产工作计划》《2021年普法依法治院工作要点》《人员密集场所房屋建筑消防安全专项整治行动工作方案》等文件，安全维稳工作按章推进，落地落实。与各科室负责人签定了《安全生产目标责任书》，明确了医院各级工作人员的安全维稳工作职责。成立了以党委书记、院长为双组长的安全维稳组织机构，实现了全方位全覆盖，全员参与齐抓共管的局面。</w:t>
      </w:r>
    </w:p>
    <w:p>
      <w:pPr>
        <w:adjustRightInd w:val="0"/>
        <w:snapToGrid w:val="0"/>
        <w:spacing w:line="336"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四</w:t>
      </w:r>
      <w:r>
        <w:rPr>
          <w:rFonts w:ascii="仿宋" w:hAnsi="仿宋" w:eastAsia="仿宋" w:cs="仿宋"/>
          <w:sz w:val="28"/>
          <w:szCs w:val="28"/>
        </w:rPr>
        <w:t>）整合资源，扶持重点，医教研水平稳步提升</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1.学科建设取得新进展。制定了年度重点专科建设作战图，组织耳鼻咽喉头颈外科、眼科及护理学申报省级重点学科。病理科与第三方签署学科共建协议，与西南医科大学附属医院病理科组建专科联盟开展学科共建。营养科、妇产科等5个科室与川大华西医院、四川省人民医院等上级医院签订了专科联盟协议。启动了创伤中心、呼吸与危重症医学科（PCCM）创建工作。建设医学美容科，逐步开展医美业务。</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2.医疗技术能力稳步提高。开展业务科主任提升计划，先后派出8名科主任外出进行业务提升，选派13名临床医技人员外出进修，选派4人分别参加省级妇产科、儿科代谢性疾病、新生儿急危重症、院前急救专项提升培训。新开专病门诊8个，特需门诊4个，成立6个名医工作室。开展新技术、新项目同比增加100 %;微创手术同比加17.72%；四级手术同比增加0.35%。加强医疗技术应用管理，在2021年度市卫健委组织的专项检查中得分全市第一。</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3.科教研工作取得新突破。制定了《科研奖惩办法》《科研团队建设实施方案》等9项制度，完善和规范了科教管理流程。组织青年高层次人才召开专题会议，提交年度科研教学请战书，鼓励青年骨干干事创业；组建了2个科研团队。组织西南医科大学临床专业本科实习生完成OSCE考试；顺利完成了四川中医药高等专科学校等学校实习生结业工作及四川卫生康复职业学院护理全程教学班教学工作；与重庆医科大学信息学院签订合作框架协议，引进本科信息专业实习生2人。</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4.人才队伍建设不断优化。组织开展了第二届“人才月”活动，举办“奋楫扬帆”青春分享会、“功以才成”人才沙龙、“业由才广”人才大会、人才专题宣传展等，累计宣传人才113人次，人才大会奖励142人次。推进实施“三箐”人才工程，对聘任的第一届“院高质办成员”、聘任“科室特聘专家”进行了聘期考核，并严格参照干部聘用流程开展了续聘工作，续聘特聘专家7名，高质办专家11名。</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5.持续推进信息化建设。调整了信息安全管理委员会，成立了正版化软件工作小组。东华系统升级已经完成大数据平台、门诊、住院系统、药房药库系统、物资管理系统、电子病历、实验室系统、合理化用药、移动医疗等60%的模块。在国家卫生健康委员会办公厅《关于通报表扬中国共产党成立100周年庆祝活动卫生健康行业网络安全保障工作表现突出集体和个人的通知》中，我院被列入卫生健康行业网络安全保障工作表现突出集体名单。</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（五）创新驱动，深挖潜能，医院综合服务能力切实提高</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打造有温度的医院。巩固标杆示范窗口培训的成果，按照要求开展门诊科室6S管理，在个人形象、服务态度、工作作风等方面取得明显成效。优质护理服务覆盖率100%，住院患者护理服务满意度97.13%，优质护理服务已全面融入护理工作的各个方面，患者的住院体验进一步提高。 </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（六）其他重点工作完成情况</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1.大力开展文化活动。开展“我们的节日”传统文化系列活动，以传统节日和重要纪念日为契机，组织开展形式多样的文化活动。丰富“青年大讲堂”活动形式，在讲座式讲堂的学习模式中增加了移动式讲堂学习。开展了技术练兵，手卫生、安全知识竞赛等活动，不断提高实践与创新的能力。支持职工男子篮球队、足球队、羽毛球队开展活动，并组织队员代表市卫健委参加了市第十届职工运动会。</w:t>
      </w:r>
    </w:p>
    <w:p>
      <w:pPr>
        <w:adjustRightInd w:val="0"/>
        <w:snapToGrid w:val="0"/>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有序推进基础设施建设。</w:t>
      </w:r>
      <w:r>
        <w:rPr>
          <w:rFonts w:hint="eastAsia" w:ascii="仿宋" w:hAnsi="仿宋" w:eastAsia="仿宋" w:cs="仿宋"/>
          <w:sz w:val="28"/>
          <w:szCs w:val="28"/>
        </w:rPr>
        <w:t>门急诊及业务大楼工程项目有序推进</w:t>
      </w:r>
      <w:r>
        <w:rPr>
          <w:rFonts w:ascii="仿宋" w:hAnsi="仿宋" w:eastAsia="仿宋" w:cs="仿宋"/>
          <w:sz w:val="28"/>
          <w:szCs w:val="28"/>
        </w:rPr>
        <w:t>。完成了发热门诊的搭建施工、养老综合体、关爱门诊的装修改造施工、养老综合体电梯安装；完成了与新建门急诊及业务大楼建设项目相关的贡井广电公司过渡性营业厅和办公用房装修的验收、搬迁工作。办理了血透室业务用房现场改造和钢构连廊建设基础施工工作。</w:t>
      </w:r>
    </w:p>
    <w:p>
      <w:pPr>
        <w:widowControl/>
        <w:jc w:val="left"/>
        <w:rPr>
          <w:rFonts w:ascii="仿宋" w:hAnsi="仿宋" w:eastAsia="仿宋"/>
          <w:color w:val="000000"/>
          <w:kern w:val="0"/>
          <w:szCs w:val="32"/>
        </w:rPr>
      </w:pPr>
    </w:p>
    <w:p>
      <w:pPr>
        <w:rPr>
          <w:rFonts w:ascii="黑体" w:hAnsi="黑体" w:eastAsia="黑体"/>
          <w:color w:val="000000"/>
        </w:rPr>
      </w:pPr>
      <w:bookmarkStart w:id="5" w:name="_Toc15377204"/>
      <w:bookmarkStart w:id="6" w:name="_Toc15396602"/>
      <w:r>
        <w:rPr>
          <w:rFonts w:hint="eastAsia" w:ascii="黑体" w:hAnsi="黑体" w:eastAsia="黑体"/>
          <w:color w:val="000000"/>
        </w:rPr>
        <w:br w:type="page"/>
      </w:r>
    </w:p>
    <w:p>
      <w:pPr>
        <w:pStyle w:val="3"/>
        <w:ind w:right="440"/>
        <w:jc w:val="right"/>
      </w:pPr>
      <w:bookmarkStart w:id="7" w:name="_Toc18018"/>
      <w:r>
        <w:rPr>
          <w:rFonts w:hint="eastAsia" w:ascii="黑体" w:hAnsi="黑体" w:eastAsia="黑体"/>
          <w:b w:val="0"/>
          <w:color w:val="000000"/>
        </w:rPr>
        <w:t>第二部分</w:t>
      </w:r>
      <w:r>
        <w:rPr>
          <w:rStyle w:val="16"/>
          <w:rFonts w:ascii="黑体" w:hAnsi="黑体" w:eastAsia="黑体"/>
          <w:b w:val="0"/>
          <w:bCs w:val="0"/>
        </w:rPr>
        <w:t>202</w:t>
      </w:r>
      <w:r>
        <w:rPr>
          <w:rStyle w:val="16"/>
          <w:rFonts w:hint="eastAsia" w:ascii="黑体" w:hAnsi="黑体" w:eastAsia="黑体"/>
          <w:b w:val="0"/>
          <w:bCs w:val="0"/>
        </w:rPr>
        <w:t>1年度单位决算情况说明</w:t>
      </w:r>
      <w:bookmarkEnd w:id="5"/>
      <w:bookmarkEnd w:id="6"/>
      <w:bookmarkEnd w:id="7"/>
    </w:p>
    <w:p>
      <w:pPr>
        <w:pStyle w:val="18"/>
        <w:numPr>
          <w:ilvl w:val="0"/>
          <w:numId w:val="1"/>
        </w:numPr>
        <w:spacing w:line="600" w:lineRule="exact"/>
        <w:ind w:firstLineChars="0"/>
        <w:outlineLvl w:val="1"/>
        <w:rPr>
          <w:rStyle w:val="17"/>
          <w:rFonts w:ascii="黑体" w:hAnsi="黑体" w:eastAsia="黑体"/>
          <w:b w:val="0"/>
        </w:rPr>
      </w:pPr>
      <w:bookmarkStart w:id="8" w:name="_Toc15396603"/>
      <w:bookmarkStart w:id="9" w:name="_Toc7398"/>
      <w:bookmarkStart w:id="10" w:name="_Toc15377205"/>
      <w:r>
        <w:rPr>
          <w:rFonts w:hint="eastAsia" w:ascii="黑体" w:hAnsi="黑体" w:eastAsia="黑体"/>
          <w:color w:val="000000"/>
          <w:szCs w:val="32"/>
        </w:rPr>
        <w:t>收</w:t>
      </w:r>
      <w:r>
        <w:rPr>
          <w:rStyle w:val="17"/>
          <w:rFonts w:hint="eastAsia" w:ascii="黑体" w:hAnsi="黑体" w:eastAsia="黑体"/>
          <w:b w:val="0"/>
        </w:rPr>
        <w:t>入支出决算总体情况说明</w:t>
      </w:r>
      <w:bookmarkEnd w:id="8"/>
      <w:bookmarkEnd w:id="9"/>
      <w:bookmarkEnd w:id="10"/>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2021年度收、支总计65174.76万元。与2020年相比，收、支总计各增加11747.93万元，增长21.99</w:t>
      </w:r>
      <w:r>
        <w:rPr>
          <w:rFonts w:ascii="仿宋" w:hAnsi="仿宋" w:eastAsia="仿宋"/>
          <w:color w:val="000000"/>
          <w:szCs w:val="32"/>
        </w:rPr>
        <w:t>%</w:t>
      </w:r>
      <w:r>
        <w:rPr>
          <w:rFonts w:hint="eastAsia" w:ascii="仿宋" w:hAnsi="仿宋" w:eastAsia="仿宋"/>
          <w:color w:val="000000"/>
          <w:szCs w:val="32"/>
        </w:rPr>
        <w:t>。主要变动原因是</w:t>
      </w:r>
      <w:r>
        <w:rPr>
          <w:rFonts w:hint="eastAsia" w:ascii="仿宋" w:eastAsia="仿宋" w:cs="仿宋"/>
          <w:szCs w:val="32"/>
        </w:rPr>
        <w:t>本年度新增应急医疗和公共卫生服务能力提升(门急诊及业务大楼)工程项目专项债券</w:t>
      </w:r>
      <w:r>
        <w:rPr>
          <w:rFonts w:hint="eastAsia" w:ascii="仿宋" w:eastAsia="仿宋" w:cs="仿宋"/>
          <w:szCs w:val="32"/>
          <w:lang w:val="en-US" w:eastAsia="zh-CN"/>
        </w:rPr>
        <w:t>,</w:t>
      </w:r>
      <w:r>
        <w:rPr>
          <w:rFonts w:hint="eastAsia" w:ascii="仿宋" w:eastAsia="仿宋" w:cs="仿宋"/>
          <w:szCs w:val="32"/>
        </w:rPr>
        <w:t>使政府性基金预算财政拨款收入支出增加</w:t>
      </w:r>
      <w:r>
        <w:rPr>
          <w:rFonts w:hint="eastAsia" w:ascii="仿宋" w:hAnsi="仿宋" w:eastAsia="仿宋"/>
          <w:color w:val="000000"/>
          <w:szCs w:val="32"/>
        </w:rPr>
        <w:t>。</w:t>
      </w:r>
    </w:p>
    <w:p>
      <w:pPr>
        <w:pStyle w:val="2"/>
        <w:spacing w:before="93"/>
      </w:pPr>
      <w:r>
        <w:drawing>
          <wp:inline distT="0" distB="0" distL="114300" distR="114300">
            <wp:extent cx="5238115" cy="2695575"/>
            <wp:effectExtent l="4445" t="4445" r="15240"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pPr>
      <w:r>
        <w:rPr>
          <w:rFonts w:hint="eastAsia" w:ascii="仿宋" w:hAnsi="仿宋" w:eastAsia="仿宋"/>
          <w:color w:val="000000"/>
          <w:szCs w:val="32"/>
        </w:rPr>
        <w:t>（图</w:t>
      </w:r>
      <w:r>
        <w:rPr>
          <w:rFonts w:ascii="仿宋" w:hAnsi="仿宋" w:eastAsia="仿宋"/>
          <w:color w:val="000000"/>
          <w:szCs w:val="32"/>
        </w:rPr>
        <w:t>1</w:t>
      </w:r>
      <w:r>
        <w:rPr>
          <w:rFonts w:hint="eastAsia" w:ascii="仿宋" w:hAnsi="仿宋" w:eastAsia="仿宋"/>
          <w:color w:val="000000"/>
          <w:szCs w:val="32"/>
        </w:rPr>
        <w:t>：收、支决算总计变动情况图）（柱状图）</w:t>
      </w:r>
    </w:p>
    <w:p>
      <w:pPr>
        <w:pStyle w:val="18"/>
        <w:numPr>
          <w:ilvl w:val="0"/>
          <w:numId w:val="1"/>
        </w:numPr>
        <w:spacing w:line="600" w:lineRule="exact"/>
        <w:ind w:firstLineChars="0"/>
        <w:outlineLvl w:val="1"/>
        <w:rPr>
          <w:rStyle w:val="17"/>
          <w:rFonts w:ascii="黑体" w:hAnsi="黑体" w:eastAsia="黑体"/>
          <w:b w:val="0"/>
        </w:rPr>
      </w:pPr>
      <w:bookmarkStart w:id="11" w:name="_Toc24241"/>
      <w:bookmarkStart w:id="12" w:name="_Toc15377206"/>
      <w:bookmarkStart w:id="13" w:name="_Toc15396604"/>
      <w:r>
        <w:rPr>
          <w:rFonts w:hint="eastAsia" w:ascii="黑体" w:hAnsi="黑体" w:eastAsia="黑体"/>
          <w:color w:val="000000"/>
          <w:szCs w:val="32"/>
        </w:rPr>
        <w:t>收</w:t>
      </w:r>
      <w:r>
        <w:rPr>
          <w:rStyle w:val="17"/>
          <w:rFonts w:hint="eastAsia" w:ascii="黑体" w:hAnsi="黑体" w:eastAsia="黑体"/>
          <w:b w:val="0"/>
        </w:rPr>
        <w:t>入决算情况说明</w:t>
      </w:r>
      <w:bookmarkEnd w:id="11"/>
      <w:bookmarkEnd w:id="12"/>
      <w:bookmarkEnd w:id="13"/>
    </w:p>
    <w:p>
      <w:pPr>
        <w:spacing w:line="600" w:lineRule="exact"/>
        <w:ind w:firstLine="640" w:firstLineChars="200"/>
        <w:rPr>
          <w:rFonts w:ascii="仿宋" w:hAnsi="仿宋" w:eastAsia="仿宋"/>
          <w:color w:val="000000"/>
          <w:szCs w:val="32"/>
        </w:rPr>
      </w:pPr>
      <w:r>
        <w:rPr>
          <w:rFonts w:ascii="仿宋" w:hAnsi="仿宋" w:eastAsia="仿宋"/>
          <w:color w:val="000000"/>
          <w:szCs w:val="32"/>
        </w:rPr>
        <w:t>202</w:t>
      </w:r>
      <w:r>
        <w:rPr>
          <w:rFonts w:hint="eastAsia" w:ascii="仿宋" w:hAnsi="仿宋" w:eastAsia="仿宋"/>
          <w:color w:val="000000"/>
          <w:szCs w:val="32"/>
        </w:rPr>
        <w:t>1年本年收入合计64913.18万元，其中：一般公共预算财政拨款收入1199.85万元，占1.85</w:t>
      </w:r>
      <w:r>
        <w:rPr>
          <w:rFonts w:ascii="仿宋" w:hAnsi="仿宋" w:eastAsia="仿宋"/>
          <w:color w:val="000000"/>
          <w:szCs w:val="32"/>
        </w:rPr>
        <w:t>%</w:t>
      </w:r>
      <w:r>
        <w:rPr>
          <w:rFonts w:hint="eastAsia" w:ascii="仿宋" w:hAnsi="仿宋" w:eastAsia="仿宋"/>
          <w:color w:val="000000"/>
          <w:szCs w:val="32"/>
        </w:rPr>
        <w:t>；政府性基金预算财政拨款收入12500万元，占19.26</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szCs w:val="32"/>
        </w:rPr>
        <w:t>国有资本经营预算财政拨款收入0万元，占0</w:t>
      </w:r>
      <w:r>
        <w:rPr>
          <w:rFonts w:ascii="仿宋" w:hAnsi="仿宋" w:eastAsia="仿宋"/>
          <w:szCs w:val="32"/>
        </w:rPr>
        <w:t>%</w:t>
      </w:r>
      <w:r>
        <w:rPr>
          <w:rFonts w:hint="eastAsia" w:ascii="仿宋" w:hAnsi="仿宋" w:eastAsia="仿宋"/>
          <w:szCs w:val="32"/>
        </w:rPr>
        <w:t>；</w:t>
      </w:r>
      <w:r>
        <w:rPr>
          <w:rFonts w:hint="eastAsia" w:ascii="仿宋" w:hAnsi="仿宋" w:eastAsia="仿宋"/>
          <w:color w:val="000000"/>
          <w:szCs w:val="32"/>
        </w:rPr>
        <w:t>上级补助收入0万元，占0</w:t>
      </w:r>
      <w:r>
        <w:rPr>
          <w:rFonts w:ascii="仿宋" w:hAnsi="仿宋" w:eastAsia="仿宋"/>
          <w:color w:val="000000"/>
          <w:szCs w:val="32"/>
        </w:rPr>
        <w:t>%</w:t>
      </w:r>
      <w:r>
        <w:rPr>
          <w:rFonts w:hint="eastAsia" w:ascii="仿宋" w:hAnsi="仿宋" w:eastAsia="仿宋"/>
          <w:color w:val="000000"/>
          <w:szCs w:val="32"/>
        </w:rPr>
        <w:t>；事业收入40618.78万元，占62.57</w:t>
      </w:r>
      <w:r>
        <w:rPr>
          <w:rFonts w:ascii="仿宋" w:hAnsi="仿宋" w:eastAsia="仿宋"/>
          <w:color w:val="000000"/>
          <w:szCs w:val="32"/>
        </w:rPr>
        <w:t>%</w:t>
      </w:r>
      <w:r>
        <w:rPr>
          <w:rFonts w:hint="eastAsia" w:ascii="仿宋" w:hAnsi="仿宋" w:eastAsia="仿宋"/>
          <w:color w:val="000000"/>
          <w:szCs w:val="32"/>
        </w:rPr>
        <w:t>；经营收入0万元，占0</w:t>
      </w:r>
      <w:r>
        <w:rPr>
          <w:rFonts w:ascii="仿宋" w:hAnsi="仿宋" w:eastAsia="仿宋"/>
          <w:color w:val="000000"/>
          <w:szCs w:val="32"/>
        </w:rPr>
        <w:t>%</w:t>
      </w:r>
      <w:r>
        <w:rPr>
          <w:rFonts w:hint="eastAsia" w:ascii="仿宋" w:hAnsi="仿宋" w:eastAsia="仿宋"/>
          <w:color w:val="000000"/>
          <w:szCs w:val="32"/>
        </w:rPr>
        <w:t>；附属单位上缴收入0万元，占0</w:t>
      </w:r>
      <w:r>
        <w:rPr>
          <w:rFonts w:ascii="仿宋" w:hAnsi="仿宋" w:eastAsia="仿宋"/>
          <w:color w:val="000000"/>
          <w:szCs w:val="32"/>
        </w:rPr>
        <w:t>%</w:t>
      </w:r>
      <w:r>
        <w:rPr>
          <w:rFonts w:hint="eastAsia" w:ascii="仿宋" w:hAnsi="仿宋" w:eastAsia="仿宋"/>
          <w:color w:val="000000"/>
          <w:szCs w:val="32"/>
        </w:rPr>
        <w:t>；其他收入10594.55万元，占16.32</w:t>
      </w:r>
      <w:r>
        <w:rPr>
          <w:rFonts w:ascii="仿宋" w:hAnsi="仿宋" w:eastAsia="仿宋"/>
          <w:color w:val="000000"/>
          <w:szCs w:val="32"/>
        </w:rPr>
        <w:t>%</w:t>
      </w:r>
      <w:r>
        <w:rPr>
          <w:rFonts w:hint="eastAsia" w:ascii="仿宋" w:hAnsi="仿宋" w:eastAsia="仿宋"/>
          <w:color w:val="000000"/>
          <w:szCs w:val="32"/>
        </w:rPr>
        <w:t>。</w:t>
      </w:r>
    </w:p>
    <w:p>
      <w:pPr>
        <w:pStyle w:val="2"/>
        <w:spacing w:before="93"/>
        <w:rPr>
          <w:rFonts w:ascii="仿宋" w:hAnsi="仿宋" w:eastAsia="仿宋"/>
          <w:color w:val="000000"/>
          <w:szCs w:val="32"/>
        </w:rPr>
      </w:pPr>
      <w:r>
        <w:drawing>
          <wp:inline distT="0" distB="0" distL="114300" distR="114300">
            <wp:extent cx="5238115" cy="3228975"/>
            <wp:effectExtent l="4445" t="4445" r="1524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280" w:firstLineChars="400"/>
      </w:pPr>
      <w:r>
        <w:rPr>
          <w:rFonts w:hint="eastAsia" w:ascii="仿宋" w:hAnsi="仿宋" w:eastAsia="仿宋"/>
          <w:color w:val="000000"/>
          <w:szCs w:val="32"/>
        </w:rPr>
        <w:t>（图</w:t>
      </w:r>
      <w:r>
        <w:rPr>
          <w:rFonts w:ascii="仿宋" w:hAnsi="仿宋" w:eastAsia="仿宋"/>
          <w:color w:val="000000"/>
          <w:szCs w:val="32"/>
        </w:rPr>
        <w:t>2</w:t>
      </w:r>
      <w:r>
        <w:rPr>
          <w:rFonts w:hint="eastAsia" w:ascii="仿宋" w:hAnsi="仿宋" w:eastAsia="仿宋"/>
          <w:color w:val="000000"/>
          <w:szCs w:val="32"/>
        </w:rPr>
        <w:t>：收入决算结构图）（饼状图）</w:t>
      </w:r>
    </w:p>
    <w:p>
      <w:pPr>
        <w:pStyle w:val="18"/>
        <w:numPr>
          <w:ilvl w:val="0"/>
          <w:numId w:val="1"/>
        </w:numPr>
        <w:spacing w:line="600" w:lineRule="exact"/>
        <w:ind w:firstLineChars="0"/>
        <w:outlineLvl w:val="1"/>
        <w:rPr>
          <w:rStyle w:val="17"/>
          <w:rFonts w:ascii="黑体" w:hAnsi="黑体" w:eastAsia="黑体"/>
          <w:b w:val="0"/>
        </w:rPr>
      </w:pPr>
      <w:bookmarkStart w:id="14" w:name="_Toc15396605"/>
      <w:bookmarkStart w:id="15" w:name="_Toc6526"/>
      <w:bookmarkStart w:id="16" w:name="_Toc15377207"/>
      <w:r>
        <w:rPr>
          <w:rFonts w:hint="eastAsia" w:ascii="黑体" w:hAnsi="黑体" w:eastAsia="黑体"/>
          <w:color w:val="000000"/>
          <w:szCs w:val="32"/>
        </w:rPr>
        <w:t>支</w:t>
      </w:r>
      <w:r>
        <w:rPr>
          <w:rStyle w:val="17"/>
          <w:rFonts w:hint="eastAsia" w:ascii="黑体" w:hAnsi="黑体" w:eastAsia="黑体"/>
          <w:b w:val="0"/>
        </w:rPr>
        <w:t>出决算情况说明</w:t>
      </w:r>
      <w:bookmarkEnd w:id="14"/>
      <w:bookmarkEnd w:id="15"/>
      <w:bookmarkEnd w:id="16"/>
    </w:p>
    <w:p>
      <w:pPr>
        <w:spacing w:line="600" w:lineRule="exact"/>
        <w:ind w:firstLine="640" w:firstLineChars="200"/>
        <w:rPr>
          <w:rFonts w:ascii="仿宋" w:hAnsi="仿宋" w:eastAsia="仿宋"/>
          <w:color w:val="000000"/>
          <w:szCs w:val="32"/>
        </w:rPr>
      </w:pPr>
      <w:r>
        <w:rPr>
          <w:rFonts w:ascii="仿宋" w:hAnsi="仿宋" w:eastAsia="仿宋"/>
          <w:color w:val="000000"/>
          <w:szCs w:val="32"/>
        </w:rPr>
        <w:t>202</w:t>
      </w:r>
      <w:r>
        <w:rPr>
          <w:rFonts w:hint="eastAsia" w:ascii="仿宋" w:hAnsi="仿宋" w:eastAsia="仿宋"/>
          <w:color w:val="000000"/>
          <w:szCs w:val="32"/>
        </w:rPr>
        <w:t>1年本年支出合计51391.67万元，其中：基本支出49118.43万元，占95.58</w:t>
      </w:r>
      <w:r>
        <w:rPr>
          <w:rFonts w:ascii="仿宋" w:hAnsi="仿宋" w:eastAsia="仿宋"/>
          <w:color w:val="000000"/>
          <w:szCs w:val="32"/>
        </w:rPr>
        <w:t>%</w:t>
      </w:r>
      <w:r>
        <w:rPr>
          <w:rFonts w:hint="eastAsia" w:ascii="仿宋" w:hAnsi="仿宋" w:eastAsia="仿宋"/>
          <w:color w:val="000000"/>
          <w:szCs w:val="32"/>
        </w:rPr>
        <w:t>；项目支出2273.24万元，占4.42</w:t>
      </w:r>
      <w:r>
        <w:rPr>
          <w:rFonts w:ascii="仿宋" w:hAnsi="仿宋" w:eastAsia="仿宋"/>
          <w:color w:val="000000"/>
          <w:szCs w:val="32"/>
        </w:rPr>
        <w:t>%</w:t>
      </w:r>
      <w:r>
        <w:rPr>
          <w:rFonts w:hint="eastAsia" w:ascii="仿宋" w:hAnsi="仿宋" w:eastAsia="仿宋"/>
          <w:color w:val="000000"/>
          <w:szCs w:val="32"/>
        </w:rPr>
        <w:t>；上缴上级支出0万元，占0</w:t>
      </w:r>
      <w:r>
        <w:rPr>
          <w:rFonts w:ascii="仿宋" w:hAnsi="仿宋" w:eastAsia="仿宋"/>
          <w:color w:val="000000"/>
          <w:szCs w:val="32"/>
        </w:rPr>
        <w:t>%</w:t>
      </w:r>
      <w:r>
        <w:rPr>
          <w:rFonts w:hint="eastAsia" w:ascii="仿宋" w:hAnsi="仿宋" w:eastAsia="仿宋"/>
          <w:color w:val="000000"/>
          <w:szCs w:val="32"/>
        </w:rPr>
        <w:t>；经营支出0万元，占0</w:t>
      </w:r>
      <w:r>
        <w:rPr>
          <w:rFonts w:ascii="仿宋" w:hAnsi="仿宋" w:eastAsia="仿宋"/>
          <w:color w:val="000000"/>
          <w:szCs w:val="32"/>
        </w:rPr>
        <w:t>%</w:t>
      </w:r>
      <w:r>
        <w:rPr>
          <w:rFonts w:hint="eastAsia" w:ascii="仿宋" w:hAnsi="仿宋" w:eastAsia="仿宋"/>
          <w:color w:val="000000"/>
          <w:szCs w:val="32"/>
        </w:rPr>
        <w:t>；对附属单位补助支出0万元，占0</w:t>
      </w:r>
      <w:r>
        <w:rPr>
          <w:rFonts w:ascii="仿宋" w:hAnsi="仿宋" w:eastAsia="仿宋"/>
          <w:color w:val="000000"/>
          <w:szCs w:val="32"/>
        </w:rPr>
        <w:t>%</w:t>
      </w:r>
      <w:r>
        <w:rPr>
          <w:rFonts w:hint="eastAsia" w:ascii="仿宋" w:hAnsi="仿宋" w:eastAsia="仿宋"/>
          <w:color w:val="000000"/>
          <w:szCs w:val="32"/>
        </w:rPr>
        <w:t>。</w:t>
      </w:r>
    </w:p>
    <w:p>
      <w:pPr>
        <w:pStyle w:val="2"/>
        <w:spacing w:before="93"/>
        <w:rPr>
          <w:rFonts w:ascii="仿宋" w:hAnsi="仿宋" w:eastAsia="仿宋"/>
          <w:color w:val="000000"/>
          <w:szCs w:val="32"/>
        </w:rPr>
      </w:pPr>
      <w:r>
        <w:drawing>
          <wp:inline distT="0" distB="0" distL="114300" distR="114300">
            <wp:extent cx="5200650" cy="2296160"/>
            <wp:effectExtent l="5080" t="4445" r="13970" b="234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color w:val="FF0000"/>
          <w:szCs w:val="32"/>
        </w:rPr>
      </w:pPr>
      <w:r>
        <w:rPr>
          <w:rFonts w:hint="eastAsia" w:ascii="仿宋" w:hAnsi="仿宋" w:eastAsia="仿宋"/>
          <w:color w:val="000000"/>
          <w:szCs w:val="32"/>
        </w:rPr>
        <w:t>（图</w:t>
      </w:r>
      <w:r>
        <w:rPr>
          <w:rFonts w:ascii="仿宋" w:hAnsi="仿宋" w:eastAsia="仿宋"/>
          <w:color w:val="000000"/>
          <w:szCs w:val="32"/>
        </w:rPr>
        <w:t>3</w:t>
      </w:r>
      <w:r>
        <w:rPr>
          <w:rFonts w:hint="eastAsia" w:ascii="仿宋" w:hAnsi="仿宋" w:eastAsia="仿宋"/>
          <w:color w:val="000000"/>
          <w:szCs w:val="32"/>
        </w:rPr>
        <w:t>：支出决算结构图）（饼状图）</w:t>
      </w:r>
    </w:p>
    <w:p>
      <w:pPr>
        <w:spacing w:line="600" w:lineRule="exact"/>
        <w:ind w:firstLine="640" w:firstLineChars="200"/>
        <w:outlineLvl w:val="1"/>
        <w:rPr>
          <w:rStyle w:val="17"/>
          <w:rFonts w:ascii="黑体" w:hAnsi="黑体" w:eastAsia="黑体"/>
          <w:b w:val="0"/>
        </w:rPr>
      </w:pPr>
      <w:bookmarkStart w:id="17" w:name="_Toc15396606"/>
      <w:bookmarkStart w:id="18" w:name="_Toc15377208"/>
      <w:bookmarkStart w:id="19" w:name="_Toc14334"/>
      <w:r>
        <w:rPr>
          <w:rFonts w:hint="eastAsia" w:ascii="黑体" w:hAnsi="黑体" w:eastAsia="黑体"/>
          <w:color w:val="000000"/>
          <w:szCs w:val="32"/>
        </w:rPr>
        <w:t>四、财</w:t>
      </w:r>
      <w:r>
        <w:rPr>
          <w:rStyle w:val="17"/>
          <w:rFonts w:hint="eastAsia" w:ascii="黑体" w:hAnsi="黑体" w:eastAsia="黑体"/>
          <w:b w:val="0"/>
        </w:rPr>
        <w:t>政拨款收入支出决算总体情况说明</w:t>
      </w:r>
      <w:bookmarkEnd w:id="17"/>
      <w:bookmarkEnd w:id="18"/>
      <w:bookmarkEnd w:id="19"/>
    </w:p>
    <w:p>
      <w:pPr>
        <w:spacing w:line="600" w:lineRule="exact"/>
        <w:ind w:firstLine="640"/>
        <w:rPr>
          <w:rFonts w:ascii="仿宋" w:eastAsia="仿宋" w:cs="仿宋"/>
          <w:szCs w:val="32"/>
        </w:rPr>
      </w:pPr>
      <w:r>
        <w:rPr>
          <w:rFonts w:ascii="仿宋" w:hAnsi="仿宋" w:eastAsia="仿宋"/>
          <w:color w:val="000000"/>
          <w:szCs w:val="32"/>
        </w:rPr>
        <w:t>202</w:t>
      </w:r>
      <w:r>
        <w:rPr>
          <w:rFonts w:hint="eastAsia" w:ascii="仿宋" w:hAnsi="仿宋" w:eastAsia="仿宋"/>
          <w:color w:val="000000"/>
          <w:szCs w:val="32"/>
        </w:rPr>
        <w:t>1年财政拨款收入总计13699.85万元、支出总计2015.47万元。与</w:t>
      </w:r>
      <w:r>
        <w:rPr>
          <w:rFonts w:ascii="仿宋" w:hAnsi="仿宋" w:eastAsia="仿宋"/>
          <w:color w:val="000000"/>
          <w:szCs w:val="32"/>
        </w:rPr>
        <w:t>20</w:t>
      </w:r>
      <w:r>
        <w:rPr>
          <w:rFonts w:hint="eastAsia" w:ascii="仿宋" w:hAnsi="仿宋" w:eastAsia="仿宋"/>
          <w:color w:val="000000"/>
          <w:szCs w:val="32"/>
        </w:rPr>
        <w:t>20年相比，财政拨款收入增加7420.53万元，增长118.17%；支出总计减少4007.97万元，下降66.54</w:t>
      </w:r>
      <w:r>
        <w:rPr>
          <w:rFonts w:ascii="仿宋" w:hAnsi="仿宋" w:eastAsia="仿宋"/>
          <w:color w:val="000000"/>
          <w:szCs w:val="32"/>
        </w:rPr>
        <w:t>%</w:t>
      </w:r>
      <w:r>
        <w:rPr>
          <w:rFonts w:hint="eastAsia" w:ascii="仿宋" w:hAnsi="仿宋" w:eastAsia="仿宋"/>
          <w:color w:val="000000"/>
          <w:szCs w:val="32"/>
        </w:rPr>
        <w:t>。主要变动原因是</w:t>
      </w:r>
      <w:r>
        <w:rPr>
          <w:rFonts w:hint="eastAsia" w:ascii="仿宋" w:eastAsia="仿宋" w:cs="仿宋"/>
          <w:szCs w:val="32"/>
        </w:rPr>
        <w:t>本年度新增应急医疗和公共卫生服务能力提升(门急诊及业务大楼)工程项目专项债券财政拨款收入12500万元较上年增加7000万元，支出减少是由于债券项目建设场地内仍有5家民房未完成拆迁，导致现场不具备施工条件，不能按计划如期使用已发行的债券资金。</w:t>
      </w:r>
    </w:p>
    <w:p>
      <w:pPr>
        <w:pStyle w:val="2"/>
        <w:spacing w:before="93"/>
        <w:rPr>
          <w:rFonts w:ascii="仿宋" w:hAnsi="仿宋" w:eastAsia="仿宋"/>
          <w:color w:val="000000"/>
          <w:szCs w:val="32"/>
        </w:rPr>
      </w:pPr>
      <w:r>
        <w:drawing>
          <wp:inline distT="0" distB="0" distL="114300" distR="114300">
            <wp:extent cx="5267325" cy="3076575"/>
            <wp:effectExtent l="5080" t="4445" r="444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pPr>
      <w:r>
        <w:rPr>
          <w:rFonts w:hint="eastAsia" w:ascii="仿宋" w:hAnsi="仿宋" w:eastAsia="仿宋"/>
          <w:color w:val="000000"/>
          <w:szCs w:val="32"/>
        </w:rPr>
        <w:t>（图</w:t>
      </w:r>
      <w:r>
        <w:rPr>
          <w:rFonts w:ascii="仿宋" w:hAnsi="仿宋" w:eastAsia="仿宋"/>
          <w:color w:val="000000"/>
          <w:szCs w:val="32"/>
        </w:rPr>
        <w:t>4</w:t>
      </w:r>
      <w:r>
        <w:rPr>
          <w:rFonts w:hint="eastAsia" w:ascii="仿宋" w:hAnsi="仿宋" w:eastAsia="仿宋"/>
          <w:color w:val="000000"/>
          <w:szCs w:val="32"/>
        </w:rPr>
        <w:t>：财政拨款收、支决算总计变动情况）（柱状图）</w:t>
      </w:r>
    </w:p>
    <w:p>
      <w:pPr>
        <w:spacing w:line="600" w:lineRule="exact"/>
        <w:ind w:firstLine="640" w:firstLineChars="200"/>
        <w:outlineLvl w:val="1"/>
        <w:rPr>
          <w:rStyle w:val="17"/>
          <w:rFonts w:ascii="黑体" w:hAnsi="黑体" w:eastAsia="黑体"/>
          <w:b w:val="0"/>
        </w:rPr>
      </w:pPr>
      <w:bookmarkStart w:id="20" w:name="_Toc16755"/>
      <w:bookmarkStart w:id="21" w:name="_Toc15377209"/>
      <w:bookmarkStart w:id="22" w:name="_Toc15396607"/>
      <w:r>
        <w:rPr>
          <w:rFonts w:hint="eastAsia" w:ascii="黑体" w:hAnsi="黑体" w:eastAsia="黑体"/>
          <w:color w:val="000000"/>
          <w:szCs w:val="32"/>
        </w:rPr>
        <w:t>五、</w:t>
      </w:r>
      <w:r>
        <w:rPr>
          <w:rFonts w:hint="eastAsia" w:ascii="黑体" w:hAnsi="黑体" w:eastAsia="黑体"/>
          <w:b/>
          <w:color w:val="000000"/>
          <w:szCs w:val="32"/>
        </w:rPr>
        <w:t>一</w:t>
      </w:r>
      <w:r>
        <w:rPr>
          <w:rStyle w:val="17"/>
          <w:rFonts w:hint="eastAsia" w:ascii="黑体" w:hAnsi="黑体" w:eastAsia="黑体"/>
          <w:b w:val="0"/>
        </w:rPr>
        <w:t>般公共预算财政拨款支出决算情况说明</w:t>
      </w:r>
      <w:bookmarkEnd w:id="20"/>
      <w:bookmarkEnd w:id="21"/>
      <w:bookmarkEnd w:id="22"/>
    </w:p>
    <w:p>
      <w:pPr>
        <w:spacing w:line="600" w:lineRule="exact"/>
        <w:ind w:firstLine="643" w:firstLineChars="200"/>
        <w:outlineLvl w:val="2"/>
        <w:rPr>
          <w:rFonts w:ascii="仿宋" w:hAnsi="仿宋" w:eastAsia="仿宋"/>
          <w:b/>
          <w:color w:val="000000"/>
          <w:szCs w:val="32"/>
        </w:rPr>
      </w:pPr>
      <w:bookmarkStart w:id="23" w:name="_Toc15377210"/>
      <w:r>
        <w:rPr>
          <w:rFonts w:hint="eastAsia" w:ascii="仿宋" w:hAnsi="仿宋" w:eastAsia="仿宋"/>
          <w:b/>
          <w:color w:val="000000"/>
          <w:szCs w:val="32"/>
        </w:rPr>
        <w:t>（一）一般公共预算财政拨款支出决算总体情况</w:t>
      </w:r>
      <w:bookmarkEnd w:id="23"/>
    </w:p>
    <w:p>
      <w:pPr>
        <w:spacing w:line="600" w:lineRule="exact"/>
        <w:ind w:firstLine="640" w:firstLineChars="200"/>
        <w:rPr>
          <w:rFonts w:ascii="仿宋" w:hAnsi="仿宋" w:eastAsia="仿宋"/>
          <w:color w:val="000000"/>
          <w:szCs w:val="32"/>
        </w:rPr>
      </w:pPr>
      <w:r>
        <w:rPr>
          <w:rFonts w:ascii="仿宋" w:hAnsi="仿宋" w:eastAsia="仿宋"/>
          <w:color w:val="000000"/>
          <w:szCs w:val="32"/>
        </w:rPr>
        <w:t>20</w:t>
      </w:r>
      <w:r>
        <w:rPr>
          <w:rFonts w:hint="eastAsia" w:ascii="仿宋" w:hAnsi="仿宋" w:eastAsia="仿宋"/>
          <w:color w:val="000000"/>
          <w:szCs w:val="32"/>
        </w:rPr>
        <w:t>21年一般公共预算财政拨款支出1247.31万元，占本年支出合计的2.43</w:t>
      </w:r>
      <w:r>
        <w:rPr>
          <w:rFonts w:ascii="仿宋" w:hAnsi="仿宋" w:eastAsia="仿宋"/>
          <w:color w:val="000000"/>
          <w:szCs w:val="32"/>
        </w:rPr>
        <w:t>%</w:t>
      </w:r>
      <w:r>
        <w:rPr>
          <w:rFonts w:hint="eastAsia" w:ascii="仿宋" w:hAnsi="仿宋" w:eastAsia="仿宋"/>
          <w:color w:val="000000"/>
          <w:szCs w:val="32"/>
        </w:rPr>
        <w:t>。与</w:t>
      </w:r>
      <w:r>
        <w:rPr>
          <w:rFonts w:ascii="仿宋" w:hAnsi="仿宋" w:eastAsia="仿宋"/>
          <w:color w:val="000000"/>
          <w:szCs w:val="32"/>
        </w:rPr>
        <w:t>20</w:t>
      </w:r>
      <w:r>
        <w:rPr>
          <w:rFonts w:hint="eastAsia" w:ascii="仿宋" w:hAnsi="仿宋" w:eastAsia="仿宋"/>
          <w:color w:val="000000"/>
          <w:szCs w:val="32"/>
        </w:rPr>
        <w:t>20年相比，一般公共预算财政拨款增加247.87万元，增长24.80</w:t>
      </w:r>
      <w:r>
        <w:rPr>
          <w:rFonts w:ascii="仿宋" w:hAnsi="仿宋" w:eastAsia="仿宋"/>
          <w:color w:val="000000"/>
          <w:szCs w:val="32"/>
        </w:rPr>
        <w:t>%</w:t>
      </w:r>
      <w:r>
        <w:rPr>
          <w:rFonts w:hint="eastAsia" w:ascii="仿宋" w:hAnsi="仿宋" w:eastAsia="仿宋"/>
          <w:color w:val="000000"/>
          <w:szCs w:val="32"/>
        </w:rPr>
        <w:t>。主要变动原因是养老综合体财政拨款支出增加。</w:t>
      </w:r>
    </w:p>
    <w:p>
      <w:pPr>
        <w:pStyle w:val="2"/>
        <w:spacing w:before="93"/>
      </w:pPr>
      <w:r>
        <w:drawing>
          <wp:inline distT="0" distB="0" distL="114300" distR="114300">
            <wp:extent cx="5133975" cy="2829560"/>
            <wp:effectExtent l="4445" t="4445" r="5080" b="234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5</w:t>
      </w:r>
      <w:r>
        <w:rPr>
          <w:rFonts w:hint="eastAsia" w:ascii="仿宋" w:hAnsi="仿宋" w:eastAsia="仿宋"/>
          <w:color w:val="000000"/>
          <w:szCs w:val="32"/>
        </w:rPr>
        <w:t>：一般公共预算财政拨款支出决算变动情况）（柱状图）</w:t>
      </w:r>
    </w:p>
    <w:p>
      <w:pPr>
        <w:spacing w:line="600" w:lineRule="exact"/>
        <w:ind w:firstLine="643" w:firstLineChars="200"/>
        <w:outlineLvl w:val="2"/>
        <w:rPr>
          <w:rFonts w:ascii="仿宋" w:hAnsi="仿宋" w:eastAsia="仿宋"/>
          <w:b/>
          <w:color w:val="000000"/>
          <w:szCs w:val="32"/>
        </w:rPr>
      </w:pPr>
      <w:bookmarkStart w:id="24" w:name="_Toc15377211"/>
      <w:r>
        <w:rPr>
          <w:rFonts w:hint="eastAsia" w:ascii="仿宋" w:hAnsi="仿宋" w:eastAsia="仿宋"/>
          <w:b/>
          <w:color w:val="000000"/>
          <w:szCs w:val="32"/>
        </w:rPr>
        <w:t>（二）一般公共预算财政拨款支出决算结构情况</w:t>
      </w:r>
      <w:bookmarkEnd w:id="24"/>
    </w:p>
    <w:p>
      <w:pPr>
        <w:spacing w:line="600" w:lineRule="exact"/>
        <w:ind w:firstLine="640"/>
        <w:rPr>
          <w:rFonts w:ascii="仿宋" w:hAnsi="仿宋" w:eastAsia="仿宋"/>
          <w:b/>
          <w:color w:val="000000"/>
          <w:szCs w:val="32"/>
        </w:rPr>
      </w:pPr>
      <w:r>
        <w:rPr>
          <w:rFonts w:hint="eastAsia" w:ascii="仿宋" w:hAnsi="仿宋" w:eastAsia="仿宋"/>
          <w:color w:val="000000"/>
          <w:szCs w:val="32"/>
        </w:rPr>
        <w:t>2021年一般公共预算财政拨款支出1247.31万元，主要用于以下方面</w:t>
      </w:r>
      <w:r>
        <w:rPr>
          <w:rFonts w:ascii="仿宋" w:hAnsi="仿宋" w:eastAsia="仿宋"/>
          <w:color w:val="000000"/>
          <w:szCs w:val="32"/>
        </w:rPr>
        <w:t>:</w:t>
      </w:r>
      <w:r>
        <w:rPr>
          <w:rFonts w:hint="eastAsia" w:ascii="仿宋" w:hAnsi="仿宋" w:eastAsia="仿宋"/>
          <w:b/>
          <w:color w:val="000000"/>
          <w:szCs w:val="32"/>
        </w:rPr>
        <w:t>一般公共服务（类）支出</w:t>
      </w:r>
      <w:r>
        <w:rPr>
          <w:rFonts w:hint="eastAsia" w:ascii="仿宋" w:hAnsi="仿宋" w:eastAsia="仿宋"/>
          <w:color w:val="000000"/>
          <w:szCs w:val="32"/>
        </w:rPr>
        <w:t>15万元，占1.2</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color w:val="000000"/>
          <w:szCs w:val="32"/>
        </w:rPr>
        <w:t>教育支出（类）</w:t>
      </w:r>
      <w:r>
        <w:rPr>
          <w:rFonts w:hint="eastAsia" w:ascii="仿宋" w:hAnsi="仿宋" w:eastAsia="仿宋"/>
          <w:color w:val="000000"/>
          <w:szCs w:val="32"/>
        </w:rPr>
        <w:t>0万元，占0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color w:val="000000"/>
          <w:szCs w:val="32"/>
        </w:rPr>
        <w:t>科学技术（类）支出</w:t>
      </w:r>
      <w:r>
        <w:rPr>
          <w:rFonts w:hint="eastAsia" w:ascii="仿宋" w:hAnsi="仿宋" w:eastAsia="仿宋"/>
          <w:color w:val="000000"/>
          <w:szCs w:val="32"/>
        </w:rPr>
        <w:t>0万元，占0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bCs/>
          <w:color w:val="000000"/>
          <w:szCs w:val="32"/>
        </w:rPr>
        <w:t>文化旅游体育与传媒（类）支出0万元，占0</w:t>
      </w:r>
      <w:r>
        <w:rPr>
          <w:rFonts w:ascii="仿宋" w:hAnsi="仿宋" w:eastAsia="仿宋"/>
          <w:b/>
          <w:bCs/>
          <w:color w:val="000000"/>
          <w:szCs w:val="32"/>
        </w:rPr>
        <w:t>%</w:t>
      </w:r>
      <w:r>
        <w:rPr>
          <w:rFonts w:hint="eastAsia" w:ascii="仿宋" w:hAnsi="仿宋" w:eastAsia="仿宋"/>
          <w:color w:val="000000"/>
          <w:szCs w:val="32"/>
        </w:rPr>
        <w:t>；</w:t>
      </w:r>
      <w:r>
        <w:rPr>
          <w:rFonts w:hint="eastAsia" w:ascii="仿宋" w:hAnsi="仿宋" w:eastAsia="仿宋"/>
          <w:b/>
          <w:color w:val="000000"/>
          <w:szCs w:val="32"/>
        </w:rPr>
        <w:t>社会保障和就业（类）支出</w:t>
      </w:r>
      <w:r>
        <w:rPr>
          <w:rFonts w:hint="eastAsia" w:ascii="仿宋" w:hAnsi="仿宋" w:eastAsia="仿宋"/>
          <w:color w:val="000000"/>
          <w:szCs w:val="32"/>
        </w:rPr>
        <w:t>510.16万元，占40.9</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bCs/>
          <w:color w:val="000000"/>
          <w:szCs w:val="32"/>
        </w:rPr>
        <w:t>卫生健康支出</w:t>
      </w:r>
      <w:r>
        <w:rPr>
          <w:rFonts w:hint="eastAsia" w:ascii="仿宋" w:hAnsi="仿宋" w:eastAsia="仿宋"/>
          <w:color w:val="000000"/>
          <w:szCs w:val="32"/>
        </w:rPr>
        <w:t>722.15万元，占57.90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bCs/>
          <w:color w:val="000000"/>
          <w:szCs w:val="32"/>
        </w:rPr>
        <w:t>住房保障支出</w:t>
      </w:r>
      <w:r>
        <w:rPr>
          <w:rFonts w:hint="eastAsia" w:ascii="仿宋" w:hAnsi="仿宋" w:eastAsia="仿宋"/>
          <w:color w:val="000000"/>
          <w:szCs w:val="32"/>
        </w:rPr>
        <w:t>0万元，占0</w:t>
      </w:r>
      <w:r>
        <w:rPr>
          <w:rFonts w:ascii="仿宋" w:hAnsi="仿宋" w:eastAsia="仿宋"/>
          <w:color w:val="000000"/>
          <w:szCs w:val="32"/>
        </w:rPr>
        <w:t>%</w:t>
      </w:r>
      <w:r>
        <w:rPr>
          <w:rFonts w:hint="eastAsia" w:ascii="仿宋" w:hAnsi="仿宋" w:eastAsia="仿宋"/>
          <w:color w:val="000000"/>
          <w:szCs w:val="32"/>
        </w:rPr>
        <w:t>。</w:t>
      </w:r>
      <w:r>
        <w:rPr>
          <w:rFonts w:hint="eastAsia" w:ascii="仿宋" w:hAnsi="仿宋" w:eastAsia="仿宋"/>
          <w:b/>
          <w:color w:val="000000"/>
          <w:szCs w:val="32"/>
        </w:rPr>
        <w:t>（罗列全部功能分类科目，至类级。）</w:t>
      </w:r>
    </w:p>
    <w:p>
      <w:pPr>
        <w:pStyle w:val="2"/>
        <w:spacing w:before="93"/>
        <w:rPr>
          <w:rFonts w:ascii="仿宋" w:hAnsi="仿宋" w:eastAsia="仿宋"/>
          <w:color w:val="000000"/>
          <w:szCs w:val="32"/>
        </w:rPr>
      </w:pPr>
      <w:r>
        <w:drawing>
          <wp:inline distT="0" distB="0" distL="114300" distR="114300">
            <wp:extent cx="5238115" cy="2695575"/>
            <wp:effectExtent l="4445" t="4445" r="15240" b="50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6</w:t>
      </w:r>
      <w:r>
        <w:rPr>
          <w:rFonts w:hint="eastAsia" w:ascii="仿宋" w:hAnsi="仿宋" w:eastAsia="仿宋"/>
          <w:color w:val="000000"/>
          <w:szCs w:val="32"/>
        </w:rPr>
        <w:t>：一般公共预算财政拨款支出决算结构）（饼状图）</w:t>
      </w:r>
    </w:p>
    <w:p>
      <w:pPr>
        <w:spacing w:line="600" w:lineRule="exact"/>
        <w:ind w:firstLine="643" w:firstLineChars="200"/>
        <w:outlineLvl w:val="2"/>
        <w:rPr>
          <w:rFonts w:ascii="仿宋" w:hAnsi="仿宋" w:eastAsia="仿宋"/>
          <w:b/>
          <w:color w:val="000000"/>
          <w:szCs w:val="32"/>
        </w:rPr>
      </w:pPr>
      <w:bookmarkStart w:id="25" w:name="_Toc15377212"/>
      <w:r>
        <w:rPr>
          <w:rFonts w:hint="eastAsia" w:ascii="仿宋" w:hAnsi="仿宋" w:eastAsia="仿宋"/>
          <w:b/>
          <w:color w:val="000000"/>
          <w:szCs w:val="32"/>
        </w:rPr>
        <w:t>（三）一般公共预算财政拨款支出决算具体情况</w:t>
      </w:r>
      <w:bookmarkEnd w:id="25"/>
    </w:p>
    <w:p>
      <w:pPr>
        <w:spacing w:line="600" w:lineRule="exact"/>
        <w:ind w:firstLine="643" w:firstLineChars="200"/>
        <w:rPr>
          <w:rFonts w:ascii="仿宋" w:hAnsi="仿宋" w:eastAsia="仿宋"/>
          <w:color w:val="FF0000"/>
          <w:szCs w:val="32"/>
        </w:rPr>
      </w:pPr>
      <w:bookmarkStart w:id="26" w:name="_Toc15378460"/>
      <w:bookmarkStart w:id="27" w:name="_Toc15377444"/>
      <w:bookmarkStart w:id="28" w:name="_Toc15377213"/>
      <w:r>
        <w:rPr>
          <w:rFonts w:hint="eastAsia" w:ascii="仿宋" w:hAnsi="仿宋" w:eastAsia="仿宋"/>
          <w:b/>
          <w:color w:val="000000"/>
          <w:szCs w:val="32"/>
        </w:rPr>
        <w:t>2021年一般公共预算支出决算数为</w:t>
      </w:r>
      <w:r>
        <w:rPr>
          <w:rFonts w:hint="eastAsia" w:ascii="仿宋" w:hAnsi="仿宋" w:eastAsia="仿宋"/>
          <w:color w:val="000000"/>
          <w:szCs w:val="32"/>
        </w:rPr>
        <w:t>1247.31万元，</w:t>
      </w:r>
      <w:r>
        <w:rPr>
          <w:rStyle w:val="14"/>
          <w:rFonts w:hint="eastAsia" w:ascii="仿宋" w:hAnsi="仿宋" w:eastAsia="仿宋"/>
          <w:bCs/>
          <w:color w:val="000000"/>
          <w:szCs w:val="32"/>
        </w:rPr>
        <w:t>完成预算100.00</w:t>
      </w:r>
      <w:r>
        <w:rPr>
          <w:rStyle w:val="14"/>
          <w:rFonts w:ascii="仿宋" w:hAnsi="仿宋" w:eastAsia="仿宋"/>
          <w:bCs/>
          <w:color w:val="000000"/>
          <w:szCs w:val="32"/>
        </w:rPr>
        <w:t>%</w:t>
      </w:r>
      <w:r>
        <w:rPr>
          <w:rStyle w:val="14"/>
          <w:rFonts w:hint="eastAsia" w:ascii="仿宋" w:hAnsi="仿宋" w:eastAsia="仿宋"/>
          <w:bCs/>
          <w:color w:val="000000"/>
          <w:szCs w:val="32"/>
        </w:rPr>
        <w:t>。其中：</w:t>
      </w:r>
      <w:bookmarkEnd w:id="26"/>
      <w:bookmarkEnd w:id="27"/>
      <w:bookmarkEnd w:id="28"/>
    </w:p>
    <w:p>
      <w:pPr>
        <w:spacing w:line="600" w:lineRule="exact"/>
        <w:ind w:firstLine="643" w:firstLineChars="200"/>
        <w:rPr>
          <w:rFonts w:ascii="仿宋" w:hAnsi="仿宋" w:eastAsia="仿宋"/>
          <w:b/>
          <w:color w:val="000000"/>
          <w:szCs w:val="32"/>
        </w:rPr>
      </w:pPr>
      <w:r>
        <w:rPr>
          <w:rStyle w:val="14"/>
          <w:rFonts w:ascii="仿宋" w:hAnsi="仿宋" w:eastAsia="仿宋"/>
          <w:bCs/>
          <w:color w:val="000000"/>
          <w:szCs w:val="32"/>
        </w:rPr>
        <w:t>1.</w:t>
      </w:r>
      <w:r>
        <w:rPr>
          <w:rStyle w:val="14"/>
          <w:rFonts w:hint="eastAsia" w:ascii="仿宋" w:hAnsi="仿宋" w:eastAsia="仿宋"/>
          <w:bCs/>
          <w:color w:val="000000"/>
          <w:szCs w:val="32"/>
        </w:rPr>
        <w:t>一般公共服务（类）其他一般公共服务支出（款）其他一般公共服务支出（项）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支出决算为15万元，完成预算100</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，决算数等于预算数。</w:t>
      </w:r>
    </w:p>
    <w:p>
      <w:pPr>
        <w:spacing w:line="600" w:lineRule="exact"/>
        <w:ind w:firstLine="643" w:firstLineChars="200"/>
        <w:rPr>
          <w:rStyle w:val="14"/>
          <w:rFonts w:ascii="仿宋" w:hAnsi="仿宋" w:eastAsia="仿宋"/>
          <w:b w:val="0"/>
          <w:bCs/>
          <w:color w:val="000000"/>
          <w:szCs w:val="32"/>
        </w:rPr>
      </w:pPr>
      <w:r>
        <w:rPr>
          <w:rStyle w:val="14"/>
          <w:rFonts w:hint="eastAsia" w:ascii="仿宋" w:hAnsi="仿宋" w:eastAsia="仿宋"/>
          <w:bCs/>
          <w:color w:val="000000"/>
          <w:szCs w:val="32"/>
        </w:rPr>
        <w:t>2</w:t>
      </w:r>
      <w:r>
        <w:rPr>
          <w:rStyle w:val="14"/>
          <w:rFonts w:ascii="仿宋" w:hAnsi="仿宋" w:eastAsia="仿宋"/>
          <w:bCs/>
          <w:color w:val="000000"/>
          <w:szCs w:val="32"/>
        </w:rPr>
        <w:t>.</w:t>
      </w:r>
      <w:r>
        <w:rPr>
          <w:rStyle w:val="14"/>
          <w:rFonts w:hint="eastAsia" w:ascii="仿宋" w:hAnsi="仿宋" w:eastAsia="仿宋"/>
          <w:bCs/>
          <w:color w:val="000000"/>
          <w:szCs w:val="32"/>
        </w:rPr>
        <w:t>社会保障和就业（类）行政事业单位养老支出（款）事业单位离退休（项）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支出决算为49.16万元，完成预算100</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，决算数等于预算数。</w:t>
      </w:r>
    </w:p>
    <w:p>
      <w:pPr>
        <w:pStyle w:val="2"/>
        <w:spacing w:before="93"/>
        <w:ind w:firstLine="964" w:firstLineChars="300"/>
        <w:rPr>
          <w:rStyle w:val="14"/>
          <w:rFonts w:ascii="仿宋" w:hAnsi="仿宋" w:eastAsia="仿宋"/>
          <w:b w:val="0"/>
          <w:bCs/>
          <w:color w:val="000000"/>
          <w:kern w:val="2"/>
          <w:sz w:val="32"/>
          <w:szCs w:val="32"/>
        </w:rPr>
      </w:pPr>
      <w:r>
        <w:rPr>
          <w:rStyle w:val="14"/>
          <w:rFonts w:hint="eastAsia" w:ascii="仿宋" w:hAnsi="仿宋" w:eastAsia="仿宋"/>
          <w:bCs/>
          <w:color w:val="000000"/>
          <w:kern w:val="2"/>
          <w:sz w:val="32"/>
          <w:szCs w:val="32"/>
        </w:rPr>
        <w:t xml:space="preserve">社会保障和就业（类）行政事业单位养老支出（款）机关事业单位基本养老保险缴费支出（项）: </w:t>
      </w:r>
      <w:r>
        <w:rPr>
          <w:rStyle w:val="14"/>
          <w:rFonts w:hint="eastAsia" w:ascii="仿宋" w:hAnsi="仿宋" w:eastAsia="仿宋"/>
          <w:b w:val="0"/>
          <w:bCs/>
          <w:color w:val="000000"/>
          <w:kern w:val="2"/>
          <w:sz w:val="32"/>
          <w:szCs w:val="32"/>
        </w:rPr>
        <w:t>支出决算为261万元，完成预算100%，决算数等于预算数。</w:t>
      </w:r>
    </w:p>
    <w:p>
      <w:pPr>
        <w:pStyle w:val="2"/>
        <w:spacing w:before="93"/>
        <w:ind w:firstLine="964" w:firstLineChars="300"/>
        <w:rPr>
          <w:rStyle w:val="14"/>
          <w:rFonts w:ascii="仿宋" w:hAnsi="仿宋" w:eastAsia="仿宋"/>
          <w:b w:val="0"/>
          <w:bCs/>
          <w:color w:val="000000"/>
          <w:kern w:val="2"/>
          <w:sz w:val="32"/>
          <w:szCs w:val="32"/>
        </w:rPr>
      </w:pPr>
      <w:r>
        <w:rPr>
          <w:rStyle w:val="14"/>
          <w:rFonts w:hint="eastAsia" w:ascii="仿宋" w:hAnsi="仿宋" w:eastAsia="仿宋"/>
          <w:bCs/>
          <w:color w:val="000000"/>
          <w:kern w:val="2"/>
          <w:sz w:val="32"/>
          <w:szCs w:val="32"/>
        </w:rPr>
        <w:t xml:space="preserve">社会保障和就业（类）社会福利（款）养老服务（项）: </w:t>
      </w:r>
      <w:r>
        <w:rPr>
          <w:rStyle w:val="14"/>
          <w:rFonts w:hint="eastAsia" w:ascii="仿宋" w:hAnsi="仿宋" w:eastAsia="仿宋"/>
          <w:b w:val="0"/>
          <w:bCs/>
          <w:color w:val="000000"/>
          <w:kern w:val="2"/>
          <w:sz w:val="32"/>
          <w:szCs w:val="32"/>
        </w:rPr>
        <w:t>支出决算为200万元，完成预算100%，决算数等于预算数。</w:t>
      </w:r>
    </w:p>
    <w:p>
      <w:pPr>
        <w:spacing w:line="600" w:lineRule="exact"/>
        <w:ind w:firstLine="643" w:firstLineChars="200"/>
        <w:rPr>
          <w:rFonts w:ascii="仿宋" w:hAnsi="仿宋" w:eastAsia="仿宋"/>
          <w:b/>
          <w:color w:val="000000"/>
          <w:szCs w:val="32"/>
        </w:rPr>
      </w:pPr>
      <w:r>
        <w:rPr>
          <w:rStyle w:val="14"/>
          <w:rFonts w:hint="eastAsia" w:ascii="仿宋" w:hAnsi="仿宋" w:eastAsia="仿宋"/>
          <w:bCs/>
          <w:color w:val="000000"/>
          <w:szCs w:val="32"/>
        </w:rPr>
        <w:t>3</w:t>
      </w:r>
      <w:r>
        <w:rPr>
          <w:rStyle w:val="14"/>
          <w:rFonts w:ascii="仿宋" w:hAnsi="仿宋" w:eastAsia="仿宋"/>
          <w:bCs/>
          <w:color w:val="000000"/>
          <w:szCs w:val="32"/>
        </w:rPr>
        <w:t>.</w:t>
      </w:r>
      <w:r>
        <w:rPr>
          <w:rFonts w:hint="eastAsia" w:ascii="仿宋" w:hAnsi="仿宋" w:eastAsia="仿宋"/>
          <w:b/>
          <w:bCs/>
          <w:color w:val="000000"/>
          <w:szCs w:val="32"/>
        </w:rPr>
        <w:t>卫生健康</w:t>
      </w:r>
      <w:r>
        <w:rPr>
          <w:rStyle w:val="14"/>
          <w:rFonts w:hint="eastAsia" w:ascii="仿宋" w:hAnsi="仿宋" w:eastAsia="仿宋"/>
          <w:bCs/>
          <w:color w:val="000000"/>
          <w:szCs w:val="32"/>
        </w:rPr>
        <w:t>（类）公立医院（款）综合医院（项）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支出决算为91.79万元，完成预算99.46</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，决算数小于预算数的主要原因是本年度名医名科名院和医疗安全管理之重点立项补助0.5万元未支出(该科研项目尚未结题）。</w:t>
      </w:r>
    </w:p>
    <w:p>
      <w:pPr>
        <w:spacing w:line="600" w:lineRule="exact"/>
        <w:ind w:firstLine="643" w:firstLineChars="200"/>
        <w:rPr>
          <w:rStyle w:val="14"/>
          <w:rFonts w:ascii="仿宋" w:hAnsi="仿宋" w:eastAsia="仿宋"/>
          <w:b w:val="0"/>
          <w:bCs/>
          <w:color w:val="000000"/>
          <w:szCs w:val="32"/>
        </w:rPr>
      </w:pPr>
      <w:r>
        <w:rPr>
          <w:rFonts w:hint="eastAsia" w:ascii="仿宋" w:hAnsi="仿宋" w:eastAsia="仿宋"/>
          <w:b/>
          <w:bCs/>
          <w:color w:val="000000"/>
          <w:szCs w:val="32"/>
        </w:rPr>
        <w:t>卫生健康</w:t>
      </w:r>
      <w:r>
        <w:rPr>
          <w:rStyle w:val="14"/>
          <w:rFonts w:hint="eastAsia" w:ascii="仿宋" w:hAnsi="仿宋" w:eastAsia="仿宋"/>
          <w:bCs/>
          <w:color w:val="000000"/>
          <w:szCs w:val="32"/>
        </w:rPr>
        <w:t>（类）公立医院（款）其他公立医院支出（项）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支出决算为451.12万元，完成预算100</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，决算数等于预算数。</w:t>
      </w:r>
    </w:p>
    <w:p>
      <w:pPr>
        <w:spacing w:line="600" w:lineRule="exact"/>
        <w:ind w:firstLine="643" w:firstLineChars="200"/>
        <w:rPr>
          <w:rStyle w:val="14"/>
          <w:rFonts w:ascii="仿宋" w:hAnsi="仿宋" w:eastAsia="仿宋"/>
          <w:b w:val="0"/>
          <w:bCs/>
          <w:color w:val="000000"/>
          <w:szCs w:val="32"/>
        </w:rPr>
      </w:pPr>
      <w:r>
        <w:rPr>
          <w:rFonts w:hint="eastAsia" w:ascii="仿宋" w:hAnsi="仿宋" w:eastAsia="仿宋"/>
          <w:b/>
          <w:bCs/>
          <w:color w:val="000000"/>
          <w:szCs w:val="32"/>
        </w:rPr>
        <w:t>卫生健康</w:t>
      </w:r>
      <w:r>
        <w:rPr>
          <w:rStyle w:val="14"/>
          <w:rFonts w:hint="eastAsia" w:ascii="仿宋" w:hAnsi="仿宋" w:eastAsia="仿宋"/>
          <w:bCs/>
          <w:color w:val="000000"/>
          <w:szCs w:val="32"/>
        </w:rPr>
        <w:t>（类）公共卫生（款）基本公共卫生服务（项）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支出决算为1万元，完成预算100</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，决算数等于预算数。</w:t>
      </w:r>
    </w:p>
    <w:p>
      <w:pPr>
        <w:spacing w:line="600" w:lineRule="exact"/>
        <w:ind w:firstLine="643" w:firstLineChars="200"/>
        <w:rPr>
          <w:rStyle w:val="14"/>
          <w:rFonts w:ascii="仿宋" w:hAnsi="仿宋" w:eastAsia="仿宋"/>
          <w:b w:val="0"/>
          <w:bCs/>
          <w:color w:val="000000"/>
          <w:szCs w:val="32"/>
        </w:rPr>
      </w:pPr>
      <w:r>
        <w:rPr>
          <w:rFonts w:hint="eastAsia" w:ascii="仿宋" w:hAnsi="仿宋" w:eastAsia="仿宋"/>
          <w:b/>
          <w:bCs/>
          <w:color w:val="000000"/>
          <w:szCs w:val="32"/>
        </w:rPr>
        <w:t>卫生健康</w:t>
      </w:r>
      <w:r>
        <w:rPr>
          <w:rStyle w:val="14"/>
          <w:rFonts w:hint="eastAsia" w:ascii="仿宋" w:hAnsi="仿宋" w:eastAsia="仿宋"/>
          <w:bCs/>
          <w:color w:val="000000"/>
          <w:szCs w:val="32"/>
        </w:rPr>
        <w:t>（类）公共卫生（款）重大公共卫生服务（项）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支出决算为81.84万元，完成预算89.66</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，决算数小于预算数的主要原因是本年度支出2020年艾滋病防治项目经费8万元，尚有本年度艾滋病防治项目经费9.44万元未支出。</w:t>
      </w:r>
    </w:p>
    <w:p>
      <w:pPr>
        <w:spacing w:line="600" w:lineRule="exact"/>
        <w:ind w:firstLine="643" w:firstLineChars="200"/>
        <w:rPr>
          <w:rStyle w:val="14"/>
          <w:rFonts w:ascii="仿宋" w:hAnsi="仿宋" w:eastAsia="仿宋"/>
          <w:b w:val="0"/>
          <w:bCs/>
          <w:color w:val="000000"/>
          <w:szCs w:val="32"/>
        </w:rPr>
      </w:pPr>
      <w:r>
        <w:rPr>
          <w:rFonts w:hint="eastAsia" w:ascii="仿宋" w:hAnsi="仿宋" w:eastAsia="仿宋"/>
          <w:b/>
          <w:bCs/>
          <w:color w:val="000000"/>
          <w:szCs w:val="32"/>
        </w:rPr>
        <w:t>卫生健康</w:t>
      </w:r>
      <w:r>
        <w:rPr>
          <w:rStyle w:val="14"/>
          <w:rFonts w:hint="eastAsia" w:ascii="仿宋" w:hAnsi="仿宋" w:eastAsia="仿宋"/>
          <w:bCs/>
          <w:color w:val="000000"/>
          <w:szCs w:val="32"/>
        </w:rPr>
        <w:t>（类）公共卫生（款）突发公共卫生事件应急处理（项）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支出决算为31万元，完成预算100</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，决算数等于预算数。</w:t>
      </w:r>
    </w:p>
    <w:p>
      <w:pPr>
        <w:spacing w:line="600" w:lineRule="exact"/>
        <w:ind w:firstLine="643" w:firstLineChars="200"/>
        <w:rPr>
          <w:rStyle w:val="14"/>
          <w:rFonts w:ascii="仿宋" w:hAnsi="仿宋" w:eastAsia="仿宋"/>
          <w:b w:val="0"/>
          <w:bCs/>
          <w:color w:val="000000"/>
          <w:szCs w:val="32"/>
        </w:rPr>
      </w:pPr>
      <w:r>
        <w:rPr>
          <w:rFonts w:hint="eastAsia" w:ascii="仿宋" w:hAnsi="仿宋" w:eastAsia="仿宋"/>
          <w:b/>
          <w:bCs/>
          <w:color w:val="000000"/>
          <w:szCs w:val="32"/>
        </w:rPr>
        <w:t>卫生健康</w:t>
      </w:r>
      <w:r>
        <w:rPr>
          <w:rStyle w:val="14"/>
          <w:rFonts w:hint="eastAsia" w:ascii="仿宋" w:hAnsi="仿宋" w:eastAsia="仿宋"/>
          <w:bCs/>
          <w:color w:val="000000"/>
          <w:szCs w:val="32"/>
        </w:rPr>
        <w:t>（类）其他卫生健康支出（款）其他卫生健康支出（项）</w:t>
      </w:r>
      <w:r>
        <w:rPr>
          <w:rStyle w:val="14"/>
          <w:rFonts w:ascii="仿宋" w:hAnsi="仿宋" w:eastAsia="仿宋"/>
          <w:bCs/>
          <w:color w:val="000000"/>
          <w:szCs w:val="32"/>
        </w:rPr>
        <w:t>:</w:t>
      </w:r>
      <w:r>
        <w:rPr>
          <w:rStyle w:val="14"/>
          <w:rFonts w:hint="eastAsia" w:ascii="仿宋" w:hAnsi="仿宋" w:eastAsia="仿宋"/>
          <w:b w:val="0"/>
          <w:bCs/>
          <w:color w:val="000000"/>
          <w:szCs w:val="32"/>
        </w:rPr>
        <w:t>支出决算为65.40万元，完成预算25.5</w:t>
      </w:r>
      <w:r>
        <w:rPr>
          <w:rStyle w:val="14"/>
          <w:rFonts w:ascii="仿宋" w:hAnsi="仿宋" w:eastAsia="仿宋"/>
          <w:b w:val="0"/>
          <w:bCs/>
          <w:color w:val="000000"/>
          <w:szCs w:val="32"/>
        </w:rPr>
        <w:t>%</w:t>
      </w:r>
      <w:r>
        <w:rPr>
          <w:rStyle w:val="14"/>
          <w:rFonts w:hint="eastAsia" w:ascii="仿宋" w:hAnsi="仿宋" w:eastAsia="仿宋"/>
          <w:b w:val="0"/>
          <w:bCs/>
          <w:color w:val="000000"/>
          <w:szCs w:val="32"/>
        </w:rPr>
        <w:t>，决算数小于预算数的主要原因是本年度老年病医学科项目经费尚有191.04万元未支出，本年度支出2020年度名医名科名院医疗安全质量管理市级补助经费11.04万元，本年度支出2020年度院前医疗急救服务能力提升（负压救护车）项目经费32.9万元。</w:t>
      </w:r>
    </w:p>
    <w:p>
      <w:pPr>
        <w:tabs>
          <w:tab w:val="right" w:pos="8306"/>
        </w:tabs>
        <w:spacing w:line="600" w:lineRule="exact"/>
        <w:ind w:firstLine="640"/>
        <w:outlineLvl w:val="1"/>
        <w:rPr>
          <w:rStyle w:val="17"/>
        </w:rPr>
      </w:pPr>
      <w:bookmarkStart w:id="29" w:name="_Toc15396608"/>
      <w:bookmarkStart w:id="30" w:name="_Toc15377214"/>
      <w:bookmarkStart w:id="31" w:name="_Toc16675"/>
      <w:r>
        <w:rPr>
          <w:rFonts w:hint="eastAsia" w:ascii="黑体" w:eastAsia="黑体"/>
          <w:color w:val="000000"/>
          <w:szCs w:val="32"/>
        </w:rPr>
        <w:t>六</w:t>
      </w:r>
      <w:r>
        <w:rPr>
          <w:rFonts w:hint="eastAsia" w:ascii="黑体" w:eastAsia="黑体"/>
          <w:b/>
          <w:color w:val="000000"/>
          <w:szCs w:val="32"/>
        </w:rPr>
        <w:t>、</w:t>
      </w:r>
      <w:r>
        <w:rPr>
          <w:rFonts w:hint="eastAsia" w:ascii="黑体" w:hAnsi="黑体" w:eastAsia="黑体"/>
          <w:b/>
          <w:color w:val="000000"/>
          <w:szCs w:val="32"/>
        </w:rPr>
        <w:t>一</w:t>
      </w:r>
      <w:r>
        <w:rPr>
          <w:rStyle w:val="17"/>
          <w:rFonts w:hint="eastAsia" w:ascii="黑体" w:hAnsi="黑体" w:eastAsia="黑体"/>
          <w:b w:val="0"/>
        </w:rPr>
        <w:t>般公共预算财政拨款基本支出决算情况说明</w:t>
      </w:r>
      <w:bookmarkEnd w:id="29"/>
      <w:bookmarkEnd w:id="30"/>
      <w:bookmarkEnd w:id="31"/>
      <w:r>
        <w:rPr>
          <w:rStyle w:val="17"/>
          <w:rFonts w:ascii="黑体" w:hAnsi="黑体" w:eastAsia="黑体"/>
          <w:b w:val="0"/>
        </w:rPr>
        <w:tab/>
      </w:r>
    </w:p>
    <w:p>
      <w:pPr>
        <w:spacing w:line="600" w:lineRule="exact"/>
        <w:ind w:firstLine="645"/>
        <w:rPr>
          <w:rFonts w:ascii="仿宋" w:hAnsi="仿宋" w:eastAsia="仿宋"/>
          <w:color w:val="000000"/>
          <w:szCs w:val="32"/>
        </w:rPr>
      </w:pPr>
      <w:r>
        <w:rPr>
          <w:rFonts w:hint="eastAsia" w:ascii="仿宋" w:hAnsi="仿宋" w:eastAsia="仿宋"/>
          <w:color w:val="000000"/>
          <w:szCs w:val="32"/>
        </w:rPr>
        <w:t>2021年一般公共预算财政拨款基本支出310.91万元，其中：</w:t>
      </w:r>
    </w:p>
    <w:p>
      <w:pPr>
        <w:spacing w:line="600" w:lineRule="exact"/>
        <w:ind w:firstLine="645"/>
        <w:rPr>
          <w:rFonts w:ascii="仿宋" w:hAnsi="仿宋" w:eastAsia="仿宋"/>
          <w:color w:val="000000"/>
          <w:szCs w:val="32"/>
        </w:rPr>
      </w:pPr>
      <w:r>
        <w:rPr>
          <w:rFonts w:hint="eastAsia" w:ascii="仿宋" w:hAnsi="仿宋" w:eastAsia="仿宋"/>
          <w:color w:val="000000"/>
          <w:szCs w:val="32"/>
        </w:rPr>
        <w:t>人员经费306.41万元，主要包括：机关事业单位基本养老保险缴费、离休费、其他对个人和家庭的补助支出。</w:t>
      </w:r>
      <w:r>
        <w:rPr>
          <w:rFonts w:ascii="仿宋" w:hAnsi="仿宋" w:eastAsia="仿宋"/>
          <w:color w:val="000000"/>
          <w:szCs w:val="32"/>
        </w:rPr>
        <w:br w:type="textWrapping"/>
      </w:r>
      <w:r>
        <w:rPr>
          <w:rFonts w:hint="eastAsia" w:ascii="仿宋" w:hAnsi="仿宋" w:eastAsia="仿宋"/>
          <w:color w:val="000000"/>
          <w:szCs w:val="32"/>
        </w:rPr>
        <w:t>　　日常公用经费4.5万元，主要包括：其他商品和服务支出。</w:t>
      </w:r>
    </w:p>
    <w:p>
      <w:pPr>
        <w:spacing w:line="600" w:lineRule="exact"/>
        <w:ind w:firstLine="640"/>
        <w:outlineLvl w:val="1"/>
        <w:rPr>
          <w:rStyle w:val="17"/>
          <w:rFonts w:ascii="黑体" w:hAnsi="黑体" w:eastAsia="黑体"/>
          <w:b w:val="0"/>
        </w:rPr>
      </w:pPr>
      <w:bookmarkStart w:id="32" w:name="_Toc19737"/>
      <w:bookmarkStart w:id="33" w:name="_Toc15377215"/>
      <w:bookmarkStart w:id="34" w:name="_Toc15396609"/>
      <w:r>
        <w:rPr>
          <w:rFonts w:hint="eastAsia" w:ascii="黑体" w:eastAsia="黑体"/>
          <w:color w:val="000000"/>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32"/>
      <w:bookmarkEnd w:id="33"/>
      <w:bookmarkEnd w:id="34"/>
    </w:p>
    <w:p>
      <w:pPr>
        <w:spacing w:line="600" w:lineRule="exact"/>
        <w:ind w:firstLine="640"/>
        <w:outlineLvl w:val="2"/>
        <w:rPr>
          <w:rFonts w:ascii="仿宋" w:hAnsi="仿宋" w:eastAsia="仿宋"/>
          <w:b/>
          <w:color w:val="000000"/>
          <w:szCs w:val="32"/>
        </w:rPr>
      </w:pPr>
      <w:bookmarkStart w:id="35" w:name="_Toc15377216"/>
      <w:r>
        <w:rPr>
          <w:rFonts w:hint="eastAsia" w:ascii="仿宋" w:hAnsi="仿宋" w:eastAsia="仿宋"/>
          <w:b/>
          <w:color w:val="000000"/>
          <w:szCs w:val="32"/>
        </w:rPr>
        <w:t>（一）“三公”经费财政拨款支出决算总体情况说明</w:t>
      </w:r>
      <w:bookmarkEnd w:id="35"/>
    </w:p>
    <w:p>
      <w:pPr>
        <w:spacing w:line="600" w:lineRule="exact"/>
        <w:ind w:firstLine="640"/>
        <w:rPr>
          <w:rFonts w:ascii="仿宋" w:hAnsi="仿宋" w:eastAsia="仿宋"/>
          <w:color w:val="000000"/>
          <w:szCs w:val="32"/>
        </w:rPr>
      </w:pPr>
      <w:r>
        <w:rPr>
          <w:rFonts w:hint="eastAsia" w:ascii="仿宋" w:hAnsi="仿宋" w:eastAsia="仿宋"/>
          <w:color w:val="000000"/>
          <w:szCs w:val="32"/>
        </w:rPr>
        <w:t>2021年“三公”经费财政拨款支出决算为14.47万元，完成预算100</w:t>
      </w:r>
      <w:r>
        <w:rPr>
          <w:rFonts w:ascii="仿宋" w:hAnsi="仿宋" w:eastAsia="仿宋"/>
          <w:color w:val="000000"/>
          <w:szCs w:val="32"/>
        </w:rPr>
        <w:t>%</w:t>
      </w:r>
      <w:r>
        <w:rPr>
          <w:rFonts w:hint="eastAsia" w:ascii="仿宋" w:hAnsi="仿宋" w:eastAsia="仿宋"/>
          <w:color w:val="000000"/>
          <w:szCs w:val="32"/>
        </w:rPr>
        <w:t>。</w:t>
      </w:r>
    </w:p>
    <w:p>
      <w:pPr>
        <w:spacing w:line="600" w:lineRule="exact"/>
        <w:ind w:firstLine="640"/>
        <w:outlineLvl w:val="2"/>
        <w:rPr>
          <w:rFonts w:ascii="仿宋" w:hAnsi="仿宋" w:eastAsia="仿宋"/>
          <w:b/>
          <w:color w:val="000000"/>
          <w:szCs w:val="32"/>
        </w:rPr>
      </w:pPr>
      <w:bookmarkStart w:id="36" w:name="_Toc15377217"/>
      <w:r>
        <w:rPr>
          <w:rFonts w:hint="eastAsia" w:ascii="仿宋" w:hAnsi="仿宋" w:eastAsia="仿宋"/>
          <w:b/>
          <w:color w:val="000000"/>
          <w:szCs w:val="32"/>
        </w:rPr>
        <w:t>（二）“三公”经费财政拨款支出决算具体情况说明</w:t>
      </w:r>
      <w:bookmarkEnd w:id="36"/>
    </w:p>
    <w:p>
      <w:pPr>
        <w:spacing w:line="600" w:lineRule="exact"/>
        <w:ind w:firstLine="640"/>
        <w:rPr>
          <w:rFonts w:ascii="仿宋" w:hAnsi="仿宋" w:eastAsia="仿宋"/>
          <w:color w:val="000000"/>
          <w:szCs w:val="32"/>
        </w:rPr>
      </w:pPr>
      <w:r>
        <w:rPr>
          <w:rFonts w:hint="eastAsia" w:ascii="仿宋" w:hAnsi="仿宋" w:eastAsia="仿宋"/>
          <w:color w:val="000000"/>
          <w:szCs w:val="32"/>
        </w:rPr>
        <w:t>2021年“三公”经费财政拨款支出决算中，因公出国（境）费支出决算0万元，占0</w:t>
      </w:r>
      <w:r>
        <w:rPr>
          <w:rFonts w:ascii="仿宋" w:hAnsi="仿宋" w:eastAsia="仿宋"/>
          <w:color w:val="000000"/>
          <w:szCs w:val="32"/>
        </w:rPr>
        <w:t>%</w:t>
      </w:r>
      <w:r>
        <w:rPr>
          <w:rFonts w:hint="eastAsia" w:ascii="仿宋" w:hAnsi="仿宋" w:eastAsia="仿宋"/>
          <w:color w:val="000000"/>
          <w:szCs w:val="32"/>
        </w:rPr>
        <w:t>；公务用车购置及运行维护费支出决算14.47万元，占100</w:t>
      </w:r>
      <w:r>
        <w:rPr>
          <w:rFonts w:ascii="仿宋" w:hAnsi="仿宋" w:eastAsia="仿宋"/>
          <w:color w:val="000000"/>
          <w:szCs w:val="32"/>
        </w:rPr>
        <w:t>%</w:t>
      </w:r>
      <w:r>
        <w:rPr>
          <w:rFonts w:hint="eastAsia" w:ascii="仿宋" w:hAnsi="仿宋" w:eastAsia="仿宋"/>
          <w:color w:val="000000"/>
          <w:szCs w:val="32"/>
        </w:rPr>
        <w:t>；公务接待费支出决算0万元，占0</w:t>
      </w:r>
      <w:r>
        <w:rPr>
          <w:rFonts w:ascii="仿宋" w:hAnsi="仿宋" w:eastAsia="仿宋"/>
          <w:color w:val="000000"/>
          <w:szCs w:val="32"/>
        </w:rPr>
        <w:t>%</w:t>
      </w:r>
      <w:r>
        <w:rPr>
          <w:rFonts w:hint="eastAsia" w:ascii="仿宋" w:hAnsi="仿宋" w:eastAsia="仿宋"/>
          <w:color w:val="000000"/>
          <w:szCs w:val="32"/>
        </w:rPr>
        <w:t>。具体情况如下：</w:t>
      </w:r>
    </w:p>
    <w:p>
      <w:pPr>
        <w:pStyle w:val="2"/>
        <w:spacing w:before="93"/>
      </w:pPr>
      <w:r>
        <w:drawing>
          <wp:inline distT="0" distB="0" distL="114300" distR="114300">
            <wp:extent cx="5161915" cy="2676525"/>
            <wp:effectExtent l="4445" t="4445" r="15240"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color w:val="000000"/>
          <w:szCs w:val="32"/>
        </w:rPr>
      </w:pPr>
      <w:r>
        <w:rPr>
          <w:rFonts w:hint="eastAsia" w:ascii="仿宋" w:hAnsi="仿宋" w:eastAsia="仿宋"/>
          <w:color w:val="000000"/>
          <w:szCs w:val="32"/>
        </w:rPr>
        <w:t>（图</w:t>
      </w:r>
      <w:r>
        <w:rPr>
          <w:rFonts w:ascii="仿宋" w:hAnsi="仿宋" w:eastAsia="仿宋"/>
          <w:color w:val="000000"/>
          <w:szCs w:val="32"/>
        </w:rPr>
        <w:t>7</w:t>
      </w:r>
      <w:r>
        <w:rPr>
          <w:rFonts w:hint="eastAsia" w:ascii="仿宋" w:hAnsi="仿宋" w:eastAsia="仿宋"/>
          <w:color w:val="000000"/>
          <w:szCs w:val="32"/>
        </w:rPr>
        <w:t>：“三公”经费财政拨款支出结构）（饼状图）</w:t>
      </w:r>
    </w:p>
    <w:p>
      <w:pPr>
        <w:spacing w:line="600" w:lineRule="exact"/>
        <w:ind w:firstLine="640"/>
        <w:rPr>
          <w:rFonts w:ascii="仿宋_GB2312"/>
          <w:b/>
          <w:color w:val="000000"/>
          <w:szCs w:val="32"/>
        </w:rPr>
      </w:pPr>
      <w:r>
        <w:rPr>
          <w:rFonts w:ascii="仿宋_GB2312"/>
          <w:b/>
          <w:color w:val="000000"/>
          <w:szCs w:val="32"/>
        </w:rPr>
        <w:t>1.</w:t>
      </w:r>
      <w:r>
        <w:rPr>
          <w:rFonts w:hint="eastAsia" w:ascii="仿宋_GB2312"/>
          <w:b/>
          <w:color w:val="000000"/>
          <w:szCs w:val="32"/>
        </w:rPr>
        <w:t>因公出国（境）经费支出</w:t>
      </w:r>
      <w:r>
        <w:rPr>
          <w:rFonts w:hint="eastAsia" w:ascii="仿宋_GB2312"/>
          <w:color w:val="000000"/>
          <w:szCs w:val="32"/>
        </w:rPr>
        <w:t>0万元，</w:t>
      </w:r>
      <w:r>
        <w:rPr>
          <w:rStyle w:val="14"/>
          <w:rFonts w:hint="eastAsia" w:ascii="仿宋" w:hAnsi="仿宋" w:eastAsia="仿宋"/>
          <w:b w:val="0"/>
          <w:bCs/>
          <w:color w:val="000000"/>
          <w:szCs w:val="32"/>
        </w:rPr>
        <w:t>完成预算0</w:t>
      </w:r>
      <w:r>
        <w:rPr>
          <w:rStyle w:val="14"/>
          <w:rFonts w:ascii="仿宋" w:hAnsi="仿宋" w:eastAsia="仿宋"/>
          <w:b w:val="0"/>
          <w:bCs/>
          <w:color w:val="000000"/>
          <w:szCs w:val="32"/>
        </w:rPr>
        <w:t>%</w:t>
      </w:r>
      <w:r>
        <w:rPr>
          <w:rStyle w:val="14"/>
          <w:rFonts w:hint="eastAsia" w:ascii="仿宋" w:hAnsi="仿宋" w:eastAsia="仿宋"/>
          <w:b w:val="0"/>
          <w:bCs/>
          <w:color w:val="000000"/>
          <w:szCs w:val="32"/>
        </w:rPr>
        <w:t>。</w:t>
      </w:r>
      <w:r>
        <w:rPr>
          <w:rFonts w:hint="eastAsia" w:ascii="仿宋_GB2312"/>
          <w:color w:val="000000"/>
          <w:szCs w:val="32"/>
        </w:rPr>
        <w:t>全年安排因公出国（境）团组0次，出国（境）0人。因公出国（境）支出决算比2020年增加</w:t>
      </w:r>
      <w:r>
        <w:rPr>
          <w:rFonts w:ascii="仿宋_GB2312"/>
          <w:color w:val="000000"/>
          <w:szCs w:val="32"/>
        </w:rPr>
        <w:t>/</w:t>
      </w:r>
      <w:r>
        <w:rPr>
          <w:rFonts w:hint="eastAsia" w:ascii="仿宋_GB2312"/>
          <w:color w:val="000000"/>
          <w:szCs w:val="32"/>
        </w:rPr>
        <w:t>减少0万元，增长</w:t>
      </w:r>
      <w:r>
        <w:rPr>
          <w:rFonts w:ascii="仿宋_GB2312"/>
          <w:color w:val="000000"/>
          <w:szCs w:val="32"/>
        </w:rPr>
        <w:t>/</w:t>
      </w:r>
      <w:r>
        <w:rPr>
          <w:rFonts w:hint="eastAsia" w:ascii="仿宋_GB2312"/>
          <w:color w:val="000000"/>
          <w:szCs w:val="32"/>
        </w:rPr>
        <w:t>下降0</w:t>
      </w:r>
      <w:r>
        <w:rPr>
          <w:rFonts w:ascii="仿宋_GB2312"/>
          <w:color w:val="000000"/>
          <w:szCs w:val="32"/>
        </w:rPr>
        <w:t>%</w:t>
      </w:r>
      <w:r>
        <w:rPr>
          <w:rFonts w:hint="eastAsia" w:ascii="仿宋_GB2312"/>
          <w:color w:val="000000"/>
          <w:szCs w:val="32"/>
        </w:rPr>
        <w:t>。主要原因无。</w:t>
      </w:r>
    </w:p>
    <w:p>
      <w:pPr>
        <w:spacing w:line="600" w:lineRule="exact"/>
        <w:ind w:firstLine="640"/>
        <w:rPr>
          <w:rFonts w:ascii="仿宋_GB2312"/>
          <w:color w:val="000000"/>
          <w:szCs w:val="32"/>
        </w:rPr>
      </w:pPr>
      <w:r>
        <w:rPr>
          <w:rFonts w:hint="eastAsia" w:ascii="仿宋_GB2312"/>
          <w:color w:val="000000"/>
          <w:szCs w:val="32"/>
        </w:rPr>
        <w:t>开支内容包括：本年度无支出。</w:t>
      </w:r>
    </w:p>
    <w:p>
      <w:pPr>
        <w:spacing w:line="600" w:lineRule="exact"/>
        <w:ind w:firstLine="640"/>
        <w:rPr>
          <w:rFonts w:ascii="仿宋_GB2312"/>
          <w:color w:val="000000"/>
          <w:szCs w:val="32"/>
        </w:rPr>
      </w:pPr>
      <w:r>
        <w:rPr>
          <w:rFonts w:ascii="仿宋_GB2312"/>
          <w:b/>
          <w:color w:val="000000"/>
          <w:szCs w:val="32"/>
        </w:rPr>
        <w:t>2.</w:t>
      </w:r>
      <w:r>
        <w:rPr>
          <w:rFonts w:hint="eastAsia" w:ascii="仿宋_GB2312"/>
          <w:b/>
          <w:color w:val="000000"/>
          <w:szCs w:val="32"/>
        </w:rPr>
        <w:t>公务用车购置及运行维护费支出</w:t>
      </w:r>
      <w:r>
        <w:rPr>
          <w:rFonts w:hint="eastAsia" w:ascii="仿宋_GB2312"/>
          <w:color w:val="000000"/>
          <w:szCs w:val="32"/>
        </w:rPr>
        <w:t>14.47万元</w:t>
      </w:r>
      <w:r>
        <w:rPr>
          <w:rFonts w:ascii="仿宋_GB2312"/>
          <w:color w:val="000000"/>
          <w:szCs w:val="32"/>
        </w:rPr>
        <w:t>,</w:t>
      </w:r>
      <w:r>
        <w:rPr>
          <w:rStyle w:val="14"/>
          <w:rFonts w:hint="eastAsia" w:ascii="仿宋" w:hAnsi="仿宋" w:eastAsia="仿宋"/>
          <w:b w:val="0"/>
          <w:bCs/>
          <w:color w:val="000000"/>
          <w:szCs w:val="32"/>
        </w:rPr>
        <w:t>完成预算100</w:t>
      </w:r>
      <w:r>
        <w:rPr>
          <w:rStyle w:val="14"/>
          <w:rFonts w:ascii="仿宋" w:hAnsi="仿宋" w:eastAsia="仿宋"/>
          <w:b w:val="0"/>
          <w:bCs/>
          <w:color w:val="000000"/>
          <w:szCs w:val="32"/>
        </w:rPr>
        <w:t>%</w:t>
      </w:r>
      <w:r>
        <w:rPr>
          <w:rStyle w:val="14"/>
          <w:rFonts w:hint="eastAsia" w:ascii="仿宋" w:hAnsi="仿宋" w:eastAsia="仿宋"/>
          <w:b w:val="0"/>
          <w:bCs/>
          <w:color w:val="000000"/>
          <w:szCs w:val="32"/>
        </w:rPr>
        <w:t>。</w:t>
      </w:r>
      <w:r>
        <w:rPr>
          <w:rFonts w:hint="eastAsia" w:ascii="仿宋_GB2312"/>
          <w:color w:val="000000"/>
          <w:szCs w:val="32"/>
        </w:rPr>
        <w:t>公务用车购置及运行维护费支出决算比2020年减少2.63万元，下降15.38</w:t>
      </w:r>
      <w:r>
        <w:rPr>
          <w:rFonts w:ascii="仿宋_GB2312"/>
          <w:color w:val="000000"/>
          <w:szCs w:val="32"/>
        </w:rPr>
        <w:t>%</w:t>
      </w:r>
      <w:r>
        <w:rPr>
          <w:rFonts w:hint="eastAsia" w:ascii="仿宋_GB2312"/>
          <w:color w:val="000000"/>
          <w:szCs w:val="32"/>
        </w:rPr>
        <w:t>。主要原因是开支2020年度院前医疗急救服务能力提升（负压救护车）项目经费14.47万元。</w:t>
      </w:r>
    </w:p>
    <w:p>
      <w:pPr>
        <w:spacing w:line="600" w:lineRule="exact"/>
        <w:ind w:firstLine="640" w:firstLineChars="200"/>
        <w:rPr>
          <w:rFonts w:ascii="仿宋_GB2312"/>
          <w:b/>
          <w:color w:val="000000"/>
          <w:szCs w:val="32"/>
          <w:highlight w:val="yellow"/>
        </w:rPr>
      </w:pPr>
      <w:r>
        <w:rPr>
          <w:rFonts w:hint="eastAsia" w:ascii="仿宋_GB2312"/>
          <w:color w:val="000000"/>
          <w:szCs w:val="32"/>
        </w:rPr>
        <w:t>其中：</w:t>
      </w:r>
      <w:r>
        <w:rPr>
          <w:rFonts w:hint="eastAsia" w:ascii="仿宋_GB2312"/>
          <w:b/>
          <w:color w:val="000000"/>
          <w:szCs w:val="32"/>
        </w:rPr>
        <w:t>公务用车购置支出</w:t>
      </w:r>
      <w:r>
        <w:rPr>
          <w:rFonts w:hint="eastAsia" w:ascii="仿宋_GB2312"/>
          <w:color w:val="000000"/>
          <w:szCs w:val="32"/>
        </w:rPr>
        <w:t>14.47万元。全年按规定更新购置公务用车0辆，其中：轿车0辆、金额0万元，越野车0辆、金额0万元，载客汽车0辆、金额0万元，主要用于无。截至2021年</w:t>
      </w:r>
      <w:r>
        <w:rPr>
          <w:rFonts w:ascii="仿宋_GB2312"/>
          <w:color w:val="000000"/>
          <w:szCs w:val="32"/>
        </w:rPr>
        <w:t>12</w:t>
      </w:r>
      <w:r>
        <w:rPr>
          <w:rFonts w:hint="eastAsia" w:ascii="仿宋_GB2312"/>
          <w:color w:val="000000"/>
          <w:szCs w:val="32"/>
        </w:rPr>
        <w:t>月底，单位共有公务用车1辆，其中：特种专业技术用车1辆、轿车0辆、越野车0辆、载客汽车0辆。</w:t>
      </w:r>
    </w:p>
    <w:p>
      <w:pPr>
        <w:spacing w:line="600" w:lineRule="exact"/>
        <w:ind w:firstLine="640"/>
        <w:rPr>
          <w:rFonts w:ascii="仿宋_GB2312"/>
          <w:color w:val="000000"/>
          <w:szCs w:val="32"/>
        </w:rPr>
      </w:pPr>
      <w:r>
        <w:rPr>
          <w:rFonts w:hint="eastAsia" w:ascii="仿宋_GB2312"/>
          <w:b/>
          <w:color w:val="000000"/>
          <w:szCs w:val="32"/>
        </w:rPr>
        <w:t>公务用车运行维护费支出</w:t>
      </w:r>
      <w:r>
        <w:rPr>
          <w:rFonts w:hint="eastAsia" w:ascii="仿宋_GB2312"/>
          <w:color w:val="000000"/>
          <w:szCs w:val="32"/>
        </w:rPr>
        <w:t>0万元。主要用于无（具体工作）等所需的公务用车燃料费、维修费、过路过桥费、保险费等支出。</w:t>
      </w:r>
    </w:p>
    <w:p>
      <w:pPr>
        <w:spacing w:line="600" w:lineRule="exact"/>
        <w:ind w:firstLine="640"/>
        <w:rPr>
          <w:rFonts w:ascii="仿宋_GB2312"/>
          <w:color w:val="000000"/>
          <w:szCs w:val="32"/>
        </w:rPr>
      </w:pPr>
      <w:r>
        <w:rPr>
          <w:rFonts w:ascii="仿宋_GB2312"/>
          <w:b/>
          <w:color w:val="000000"/>
          <w:szCs w:val="32"/>
        </w:rPr>
        <w:t>3.</w:t>
      </w:r>
      <w:r>
        <w:rPr>
          <w:rFonts w:hint="eastAsia" w:ascii="仿宋_GB2312"/>
          <w:b/>
          <w:color w:val="000000"/>
          <w:szCs w:val="32"/>
        </w:rPr>
        <w:t>公务接待费支出</w:t>
      </w:r>
      <w:r>
        <w:rPr>
          <w:rFonts w:hint="eastAsia" w:ascii="仿宋_GB2312"/>
          <w:color w:val="000000"/>
          <w:szCs w:val="32"/>
        </w:rPr>
        <w:t>0万元，</w:t>
      </w:r>
      <w:r>
        <w:rPr>
          <w:rStyle w:val="14"/>
          <w:rFonts w:hint="eastAsia" w:ascii="仿宋" w:hAnsi="仿宋" w:eastAsia="仿宋"/>
          <w:b w:val="0"/>
          <w:bCs/>
          <w:color w:val="000000"/>
          <w:szCs w:val="32"/>
        </w:rPr>
        <w:t>完成预算0</w:t>
      </w:r>
      <w:r>
        <w:rPr>
          <w:rStyle w:val="14"/>
          <w:rFonts w:ascii="仿宋" w:hAnsi="仿宋" w:eastAsia="仿宋"/>
          <w:b w:val="0"/>
          <w:bCs/>
          <w:color w:val="000000"/>
          <w:szCs w:val="32"/>
        </w:rPr>
        <w:t>%</w:t>
      </w:r>
      <w:r>
        <w:rPr>
          <w:rStyle w:val="14"/>
          <w:rFonts w:hint="eastAsia" w:ascii="仿宋" w:hAnsi="仿宋" w:eastAsia="仿宋"/>
          <w:b w:val="0"/>
          <w:bCs/>
          <w:color w:val="000000"/>
          <w:szCs w:val="32"/>
        </w:rPr>
        <w:t>。</w:t>
      </w:r>
      <w:r>
        <w:rPr>
          <w:rFonts w:hint="eastAsia" w:ascii="仿宋_GB2312"/>
          <w:color w:val="000000"/>
          <w:szCs w:val="32"/>
        </w:rPr>
        <w:t>公务接待费支出决算比2020年增加</w:t>
      </w:r>
      <w:r>
        <w:rPr>
          <w:rFonts w:ascii="仿宋_GB2312"/>
          <w:color w:val="000000"/>
          <w:szCs w:val="32"/>
        </w:rPr>
        <w:t>/</w:t>
      </w:r>
      <w:r>
        <w:rPr>
          <w:rFonts w:hint="eastAsia" w:ascii="仿宋_GB2312"/>
          <w:color w:val="000000"/>
          <w:szCs w:val="32"/>
        </w:rPr>
        <w:t>减少0万元，增长</w:t>
      </w:r>
      <w:r>
        <w:rPr>
          <w:rFonts w:ascii="仿宋_GB2312"/>
          <w:color w:val="000000"/>
          <w:szCs w:val="32"/>
        </w:rPr>
        <w:t>/</w:t>
      </w:r>
      <w:r>
        <w:rPr>
          <w:rFonts w:hint="eastAsia" w:ascii="仿宋_GB2312"/>
          <w:color w:val="000000"/>
          <w:szCs w:val="32"/>
        </w:rPr>
        <w:t>下降0</w:t>
      </w:r>
      <w:r>
        <w:rPr>
          <w:rFonts w:ascii="仿宋_GB2312"/>
          <w:color w:val="000000"/>
          <w:szCs w:val="32"/>
        </w:rPr>
        <w:t>%</w:t>
      </w:r>
      <w:r>
        <w:rPr>
          <w:rFonts w:hint="eastAsia" w:ascii="仿宋_GB2312"/>
          <w:color w:val="000000"/>
          <w:szCs w:val="32"/>
        </w:rPr>
        <w:t>。主要原因是无。其中：</w:t>
      </w:r>
    </w:p>
    <w:p>
      <w:pPr>
        <w:spacing w:line="600" w:lineRule="exact"/>
        <w:ind w:firstLine="640"/>
        <w:rPr>
          <w:rFonts w:ascii="仿宋_GB2312"/>
          <w:color w:val="000000"/>
          <w:szCs w:val="32"/>
        </w:rPr>
      </w:pPr>
      <w:r>
        <w:rPr>
          <w:rFonts w:hint="eastAsia" w:ascii="仿宋" w:hAnsi="仿宋" w:eastAsia="仿宋"/>
          <w:b/>
          <w:color w:val="000000"/>
          <w:szCs w:val="32"/>
        </w:rPr>
        <w:t>国内公务接待支出</w:t>
      </w:r>
      <w:r>
        <w:rPr>
          <w:rFonts w:hint="eastAsia" w:ascii="仿宋" w:hAnsi="仿宋" w:eastAsia="仿宋"/>
          <w:color w:val="000000"/>
          <w:szCs w:val="32"/>
        </w:rPr>
        <w:t>0</w:t>
      </w:r>
      <w:r>
        <w:rPr>
          <w:rFonts w:hint="eastAsia" w:ascii="仿宋_GB2312"/>
          <w:color w:val="000000"/>
          <w:szCs w:val="32"/>
        </w:rPr>
        <w:t>万元，主要用于无</w:t>
      </w:r>
      <w:r>
        <w:rPr>
          <w:rFonts w:ascii="仿宋_GB2312"/>
          <w:color w:val="000000"/>
          <w:szCs w:val="32"/>
        </w:rPr>
        <w:t>(</w:t>
      </w:r>
      <w:r>
        <w:rPr>
          <w:rFonts w:hint="eastAsia" w:ascii="仿宋_GB2312"/>
          <w:color w:val="000000"/>
          <w:szCs w:val="32"/>
        </w:rPr>
        <w:t>执行公务、开展业务活动开支的交通费、住宿费、用餐费等</w:t>
      </w:r>
      <w:r>
        <w:rPr>
          <w:rFonts w:ascii="仿宋_GB2312"/>
          <w:color w:val="000000"/>
          <w:szCs w:val="32"/>
        </w:rPr>
        <w:t>)</w:t>
      </w:r>
      <w:r>
        <w:rPr>
          <w:rFonts w:hint="eastAsia" w:ascii="仿宋_GB2312"/>
          <w:color w:val="000000"/>
          <w:szCs w:val="32"/>
        </w:rPr>
        <w:t>。国内公务接待0批次，0人次（不包括陪同人员），共计支出0万元，具体内容包括：无（接待具体项目、金额）。</w:t>
      </w:r>
    </w:p>
    <w:p>
      <w:pPr>
        <w:spacing w:line="600" w:lineRule="exact"/>
        <w:ind w:firstLine="643" w:firstLineChars="200"/>
        <w:rPr>
          <w:rFonts w:ascii="仿宋_GB2312"/>
          <w:color w:val="000000"/>
          <w:szCs w:val="32"/>
        </w:rPr>
      </w:pPr>
      <w:r>
        <w:rPr>
          <w:rFonts w:hint="eastAsia" w:ascii="仿宋" w:hAnsi="仿宋" w:eastAsia="仿宋"/>
          <w:b/>
          <w:color w:val="000000"/>
          <w:szCs w:val="32"/>
        </w:rPr>
        <w:t>外事接待支出</w:t>
      </w:r>
      <w:r>
        <w:rPr>
          <w:rFonts w:hint="eastAsia" w:ascii="仿宋" w:hAnsi="仿宋" w:eastAsia="仿宋"/>
          <w:color w:val="000000"/>
          <w:szCs w:val="32"/>
        </w:rPr>
        <w:t>0</w:t>
      </w:r>
      <w:r>
        <w:rPr>
          <w:rFonts w:hint="eastAsia" w:ascii="仿宋_GB2312"/>
          <w:color w:val="000000"/>
          <w:szCs w:val="32"/>
        </w:rPr>
        <w:t>万元，外事接待0批次，0人，共计支出0万元，主要用于接待无（具体项目）。主要用于无。</w:t>
      </w:r>
    </w:p>
    <w:p>
      <w:pPr>
        <w:spacing w:line="600" w:lineRule="exact"/>
        <w:ind w:firstLine="640"/>
        <w:outlineLvl w:val="1"/>
        <w:rPr>
          <w:rStyle w:val="17"/>
          <w:rFonts w:ascii="黑体" w:hAnsi="黑体" w:eastAsia="黑体"/>
        </w:rPr>
      </w:pPr>
      <w:bookmarkStart w:id="37" w:name="_Toc15396610"/>
      <w:bookmarkStart w:id="38" w:name="_Toc10901"/>
      <w:bookmarkStart w:id="39" w:name="_Toc15377218"/>
      <w:r>
        <w:rPr>
          <w:rFonts w:hint="eastAsia" w:ascii="黑体" w:eastAsia="黑体"/>
          <w:color w:val="000000"/>
          <w:szCs w:val="32"/>
        </w:rPr>
        <w:t>八、</w:t>
      </w:r>
      <w:r>
        <w:rPr>
          <w:rStyle w:val="17"/>
          <w:rFonts w:hint="eastAsia" w:ascii="黑体" w:hAnsi="黑体" w:eastAsia="黑体"/>
          <w:b w:val="0"/>
        </w:rPr>
        <w:t>政府性基金预算支出决算情况说明</w:t>
      </w:r>
      <w:bookmarkEnd w:id="37"/>
      <w:bookmarkEnd w:id="38"/>
      <w:bookmarkEnd w:id="39"/>
    </w:p>
    <w:p>
      <w:pPr>
        <w:spacing w:line="600" w:lineRule="exact"/>
        <w:ind w:firstLine="640"/>
        <w:rPr>
          <w:rFonts w:ascii="仿宋_GB2312"/>
          <w:color w:val="000000"/>
          <w:szCs w:val="32"/>
        </w:rPr>
      </w:pPr>
      <w:r>
        <w:rPr>
          <w:rFonts w:hint="eastAsia" w:ascii="仿宋_GB2312"/>
          <w:color w:val="000000"/>
          <w:szCs w:val="32"/>
        </w:rPr>
        <w:t>2021年政府性基金预算拨款支出768.16万元，为应急医疗和服务能力提升（门急诊业务大楼） 项目经费。</w:t>
      </w:r>
    </w:p>
    <w:p>
      <w:pPr>
        <w:numPr>
          <w:ilvl w:val="0"/>
          <w:numId w:val="2"/>
        </w:numPr>
        <w:spacing w:line="600" w:lineRule="exact"/>
        <w:ind w:firstLine="640"/>
        <w:outlineLvl w:val="1"/>
        <w:rPr>
          <w:rStyle w:val="17"/>
          <w:rFonts w:ascii="黑体" w:hAnsi="黑体" w:eastAsia="黑体"/>
          <w:b w:val="0"/>
        </w:rPr>
      </w:pPr>
      <w:bookmarkStart w:id="40" w:name="_Toc15377219"/>
      <w:bookmarkStart w:id="41" w:name="_Toc15396611"/>
      <w:bookmarkStart w:id="42" w:name="_Toc26293"/>
      <w:r>
        <w:rPr>
          <w:rStyle w:val="17"/>
          <w:rFonts w:hint="eastAsia" w:ascii="黑体" w:hAnsi="黑体" w:eastAsia="黑体"/>
          <w:b w:val="0"/>
        </w:rPr>
        <w:t>国有资本经营预算支出决算情况说明</w:t>
      </w:r>
      <w:bookmarkEnd w:id="40"/>
      <w:bookmarkEnd w:id="41"/>
      <w:bookmarkEnd w:id="42"/>
    </w:p>
    <w:p>
      <w:pPr>
        <w:spacing w:line="600" w:lineRule="exact"/>
        <w:ind w:firstLine="640"/>
        <w:rPr>
          <w:rFonts w:ascii="方正小标宋简体" w:hAnsi="方正小标宋简体" w:eastAsia="方正小标宋简体" w:cs="方正小标宋简体"/>
          <w:sz w:val="44"/>
          <w:szCs w:val="44"/>
        </w:rPr>
      </w:pPr>
      <w:r>
        <w:rPr>
          <w:rFonts w:hint="eastAsia" w:ascii="仿宋_GB2312"/>
          <w:color w:val="000000"/>
          <w:szCs w:val="32"/>
        </w:rPr>
        <w:t>2021年国有资本经营预算拨款支出0万元。</w:t>
      </w:r>
    </w:p>
    <w:p>
      <w:pPr>
        <w:spacing w:line="600" w:lineRule="exact"/>
        <w:ind w:firstLine="640" w:firstLineChars="200"/>
        <w:outlineLvl w:val="1"/>
        <w:rPr>
          <w:rStyle w:val="17"/>
          <w:rFonts w:ascii="黑体" w:hAnsi="黑体" w:eastAsia="黑体"/>
        </w:rPr>
      </w:pPr>
      <w:bookmarkStart w:id="43" w:name="_Toc27271"/>
      <w:bookmarkStart w:id="44" w:name="_Toc15396612"/>
      <w:bookmarkStart w:id="45" w:name="_Toc15377221"/>
      <w:r>
        <w:rPr>
          <w:rFonts w:hint="eastAsia" w:ascii="黑体" w:hAnsi="黑体" w:eastAsia="黑体"/>
          <w:color w:val="000000"/>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43"/>
      <w:bookmarkEnd w:id="44"/>
      <w:bookmarkEnd w:id="45"/>
    </w:p>
    <w:p>
      <w:pPr>
        <w:spacing w:line="600" w:lineRule="exact"/>
        <w:ind w:firstLine="643" w:firstLineChars="200"/>
        <w:outlineLvl w:val="2"/>
        <w:rPr>
          <w:rFonts w:ascii="仿宋" w:hAnsi="仿宋" w:eastAsia="仿宋"/>
          <w:b/>
          <w:color w:val="000000"/>
          <w:szCs w:val="32"/>
        </w:rPr>
      </w:pPr>
      <w:bookmarkStart w:id="46" w:name="_Toc15377222"/>
      <w:r>
        <w:rPr>
          <w:rFonts w:hint="eastAsia" w:ascii="仿宋" w:hAnsi="仿宋" w:eastAsia="仿宋"/>
          <w:b/>
          <w:color w:val="000000"/>
          <w:szCs w:val="32"/>
        </w:rPr>
        <w:t>（一）机关运行经费支出情况</w:t>
      </w:r>
      <w:bookmarkEnd w:id="46"/>
    </w:p>
    <w:p>
      <w:pPr>
        <w:spacing w:line="600" w:lineRule="exact"/>
        <w:ind w:firstLine="640" w:firstLineChars="200"/>
        <w:rPr>
          <w:rFonts w:ascii="仿宋_GB2312"/>
          <w:color w:val="000000"/>
          <w:szCs w:val="32"/>
        </w:rPr>
      </w:pPr>
      <w:r>
        <w:rPr>
          <w:rFonts w:hint="eastAsia" w:ascii="仿宋_GB2312"/>
          <w:color w:val="000000"/>
          <w:szCs w:val="32"/>
        </w:rPr>
        <w:t>2021年，</w:t>
      </w:r>
      <w:r>
        <w:rPr>
          <w:rFonts w:hint="eastAsia"/>
          <w:szCs w:val="32"/>
        </w:rPr>
        <w:t>自贡市第三人民医院</w:t>
      </w:r>
      <w:r>
        <w:rPr>
          <w:rFonts w:hint="eastAsia" w:ascii="仿宋_GB2312"/>
          <w:color w:val="000000"/>
          <w:szCs w:val="32"/>
        </w:rPr>
        <w:t>机关运行经费支出0万元，比2020年增加</w:t>
      </w:r>
      <w:r>
        <w:rPr>
          <w:rFonts w:ascii="仿宋_GB2312"/>
          <w:color w:val="000000"/>
          <w:szCs w:val="32"/>
        </w:rPr>
        <w:t>/</w:t>
      </w:r>
      <w:r>
        <w:rPr>
          <w:rFonts w:hint="eastAsia" w:ascii="仿宋_GB2312"/>
          <w:color w:val="000000"/>
          <w:szCs w:val="32"/>
        </w:rPr>
        <w:t>减少0万元，增长</w:t>
      </w:r>
      <w:r>
        <w:rPr>
          <w:rFonts w:ascii="仿宋_GB2312"/>
          <w:color w:val="000000"/>
          <w:szCs w:val="32"/>
        </w:rPr>
        <w:t>/</w:t>
      </w:r>
      <w:r>
        <w:rPr>
          <w:rFonts w:hint="eastAsia" w:ascii="仿宋_GB2312"/>
          <w:color w:val="000000"/>
          <w:szCs w:val="32"/>
        </w:rPr>
        <w:t>下降0</w:t>
      </w:r>
      <w:r>
        <w:rPr>
          <w:rFonts w:ascii="仿宋_GB2312"/>
          <w:color w:val="000000"/>
          <w:szCs w:val="32"/>
        </w:rPr>
        <w:t>%</w:t>
      </w:r>
      <w:r>
        <w:rPr>
          <w:rFonts w:hint="eastAsia" w:ascii="仿宋_GB2312"/>
          <w:color w:val="000000"/>
          <w:szCs w:val="32"/>
        </w:rPr>
        <w:t>（或与2020年决算数持平）。主要原因是无。</w:t>
      </w:r>
    </w:p>
    <w:p>
      <w:pPr>
        <w:autoSpaceDE w:val="0"/>
        <w:autoSpaceDN w:val="0"/>
        <w:adjustRightInd w:val="0"/>
        <w:spacing w:line="600" w:lineRule="exact"/>
        <w:ind w:firstLine="643" w:firstLineChars="200"/>
        <w:jc w:val="left"/>
        <w:outlineLvl w:val="2"/>
        <w:rPr>
          <w:rFonts w:ascii="仿宋" w:hAnsi="仿宋" w:eastAsia="仿宋"/>
          <w:b/>
          <w:color w:val="000000"/>
          <w:szCs w:val="32"/>
        </w:rPr>
      </w:pPr>
      <w:bookmarkStart w:id="47" w:name="_Toc15377223"/>
      <w:r>
        <w:rPr>
          <w:rFonts w:hint="eastAsia" w:ascii="仿宋" w:hAnsi="仿宋" w:eastAsia="仿宋"/>
          <w:b/>
          <w:color w:val="000000"/>
          <w:szCs w:val="32"/>
        </w:rPr>
        <w:t>（二）政府采购支出情况</w:t>
      </w:r>
      <w:bookmarkEnd w:id="47"/>
    </w:p>
    <w:p>
      <w:pPr>
        <w:spacing w:line="600" w:lineRule="exact"/>
        <w:ind w:firstLine="640" w:firstLineChars="200"/>
        <w:rPr>
          <w:rFonts w:ascii="仿宋_GB2312"/>
          <w:color w:val="000000"/>
          <w:szCs w:val="32"/>
        </w:rPr>
      </w:pPr>
      <w:r>
        <w:rPr>
          <w:rFonts w:hint="eastAsia" w:ascii="仿宋_GB2312"/>
          <w:color w:val="000000"/>
          <w:szCs w:val="32"/>
        </w:rPr>
        <w:t>2021年，</w:t>
      </w:r>
      <w:r>
        <w:rPr>
          <w:rFonts w:hint="eastAsia"/>
          <w:szCs w:val="32"/>
        </w:rPr>
        <w:t>自贡市第三人民医院</w:t>
      </w:r>
      <w:r>
        <w:rPr>
          <w:rFonts w:hint="eastAsia" w:ascii="仿宋_GB2312"/>
          <w:color w:val="000000"/>
          <w:szCs w:val="32"/>
        </w:rPr>
        <w:t>政府采购支出总额3879.15万元，其中：政府采购货物支出1231.31万元、政府采购工程支出350.28万元、政府采购服务支出2297.56万元。主要用于</w:t>
      </w:r>
      <w:r>
        <w:rPr>
          <w:rFonts w:hint="eastAsia"/>
          <w:szCs w:val="32"/>
        </w:rPr>
        <w:t>购置医疗设备、台式计算机、便携式计算机、打印机、碎纸机、空调等办公设备和办公家具，物业管理费、运行维护服务、电信服务、车辆租赁等服务采购</w:t>
      </w:r>
      <w:r>
        <w:rPr>
          <w:rFonts w:hint="eastAsia" w:ascii="仿宋_GB2312"/>
          <w:color w:val="000000"/>
          <w:szCs w:val="32"/>
        </w:rPr>
        <w:t>。授予中小企业合同金额3451.3万元，占政府采购支出总额的88.97</w:t>
      </w:r>
      <w:r>
        <w:rPr>
          <w:rFonts w:ascii="仿宋_GB2312"/>
          <w:color w:val="000000"/>
          <w:szCs w:val="32"/>
        </w:rPr>
        <w:t>%</w:t>
      </w:r>
      <w:r>
        <w:rPr>
          <w:rFonts w:hint="eastAsia" w:ascii="仿宋_GB2312"/>
          <w:color w:val="000000"/>
          <w:szCs w:val="32"/>
        </w:rPr>
        <w:t>，其中：授予小微企业合同金额812.94万元，占政府采购支出总额的20.96</w:t>
      </w:r>
      <w:r>
        <w:rPr>
          <w:rFonts w:ascii="仿宋_GB2312"/>
          <w:color w:val="000000"/>
          <w:szCs w:val="32"/>
        </w:rPr>
        <w:t>%</w:t>
      </w:r>
      <w:r>
        <w:rPr>
          <w:rFonts w:hint="eastAsia" w:ascii="仿宋_GB2312"/>
          <w:color w:val="000000"/>
          <w:szCs w:val="32"/>
        </w:rPr>
        <w:t>。</w:t>
      </w:r>
    </w:p>
    <w:p>
      <w:pPr>
        <w:autoSpaceDE w:val="0"/>
        <w:autoSpaceDN w:val="0"/>
        <w:adjustRightInd w:val="0"/>
        <w:spacing w:line="600" w:lineRule="exact"/>
        <w:ind w:firstLine="643" w:firstLineChars="200"/>
        <w:jc w:val="left"/>
        <w:outlineLvl w:val="2"/>
        <w:rPr>
          <w:rFonts w:ascii="仿宋" w:hAnsi="仿宋" w:eastAsia="仿宋"/>
          <w:b/>
          <w:color w:val="000000"/>
          <w:szCs w:val="32"/>
        </w:rPr>
      </w:pPr>
      <w:bookmarkStart w:id="48" w:name="_Toc15377224"/>
      <w:r>
        <w:rPr>
          <w:rFonts w:hint="eastAsia" w:ascii="仿宋" w:hAnsi="仿宋" w:eastAsia="仿宋"/>
          <w:b/>
          <w:color w:val="000000"/>
          <w:szCs w:val="32"/>
        </w:rPr>
        <w:t>（三）国有资产占有使用情况</w:t>
      </w:r>
      <w:bookmarkEnd w:id="48"/>
      <w:r>
        <w:rPr>
          <w:rFonts w:hint="eastAsia" w:ascii="仿宋" w:hAnsi="仿宋" w:eastAsia="仿宋"/>
          <w:b/>
          <w:color w:val="000000"/>
          <w:szCs w:val="32"/>
        </w:rPr>
        <w:t>：</w:t>
      </w:r>
    </w:p>
    <w:p>
      <w:pPr>
        <w:autoSpaceDE w:val="0"/>
        <w:autoSpaceDN w:val="0"/>
        <w:adjustRightInd w:val="0"/>
        <w:spacing w:line="600" w:lineRule="exact"/>
        <w:ind w:firstLine="640" w:firstLineChars="200"/>
        <w:jc w:val="left"/>
        <w:rPr>
          <w:rFonts w:ascii="仿宋_GB2312"/>
          <w:color w:val="000000"/>
          <w:szCs w:val="32"/>
        </w:rPr>
      </w:pPr>
      <w:r>
        <w:rPr>
          <w:rFonts w:hint="eastAsia" w:ascii="仿宋_GB2312"/>
          <w:color w:val="000000"/>
          <w:szCs w:val="32"/>
        </w:rPr>
        <w:t>截至2021年</w:t>
      </w:r>
      <w:r>
        <w:rPr>
          <w:rFonts w:ascii="仿宋_GB2312"/>
          <w:color w:val="000000"/>
          <w:szCs w:val="32"/>
        </w:rPr>
        <w:t>12</w:t>
      </w:r>
      <w:r>
        <w:rPr>
          <w:rFonts w:hint="eastAsia" w:ascii="仿宋_GB2312"/>
          <w:color w:val="000000"/>
          <w:szCs w:val="32"/>
        </w:rPr>
        <w:t>月</w:t>
      </w:r>
      <w:r>
        <w:rPr>
          <w:rFonts w:ascii="仿宋_GB2312"/>
          <w:color w:val="000000"/>
          <w:szCs w:val="32"/>
        </w:rPr>
        <w:t>31</w:t>
      </w:r>
      <w:r>
        <w:rPr>
          <w:rFonts w:hint="eastAsia" w:ascii="仿宋_GB2312"/>
          <w:color w:val="000000"/>
          <w:szCs w:val="32"/>
        </w:rPr>
        <w:t>日，自贡市第三人民医院共有车辆9辆，其中：主要领导干部用车0辆、机要通信用车0辆、应急保障用车1辆、其他用车8辆（特种专业技术用车7辆、其他用车1辆），其他用车主要是用于救护车7辆、业务用车1辆。</w:t>
      </w:r>
      <w:r>
        <w:rPr>
          <w:rFonts w:ascii="仿宋_GB2312"/>
          <w:color w:val="000000"/>
          <w:szCs w:val="32"/>
        </w:rPr>
        <w:t>50</w:t>
      </w:r>
      <w:r>
        <w:rPr>
          <w:rFonts w:hint="eastAsia" w:ascii="仿宋_GB2312"/>
          <w:color w:val="000000"/>
          <w:szCs w:val="32"/>
        </w:rPr>
        <w:t>万元以上通用设备6台（套），单价</w:t>
      </w:r>
      <w:r>
        <w:rPr>
          <w:rFonts w:ascii="仿宋_GB2312"/>
          <w:color w:val="000000"/>
          <w:szCs w:val="32"/>
        </w:rPr>
        <w:t>100</w:t>
      </w:r>
      <w:r>
        <w:rPr>
          <w:rFonts w:hint="eastAsia" w:ascii="仿宋_GB2312"/>
          <w:color w:val="000000"/>
          <w:szCs w:val="32"/>
        </w:rPr>
        <w:t>万元以上专用设备24台（套）。</w:t>
      </w:r>
    </w:p>
    <w:p>
      <w:pPr>
        <w:autoSpaceDE w:val="0"/>
        <w:autoSpaceDN w:val="0"/>
        <w:adjustRightInd w:val="0"/>
        <w:spacing w:line="600" w:lineRule="exact"/>
        <w:ind w:firstLine="643" w:firstLineChars="200"/>
        <w:jc w:val="left"/>
        <w:outlineLvl w:val="2"/>
        <w:rPr>
          <w:rFonts w:ascii="仿宋" w:hAnsi="仿宋" w:eastAsia="仿宋"/>
          <w:b/>
          <w:color w:val="000000"/>
          <w:szCs w:val="32"/>
        </w:rPr>
      </w:pPr>
      <w:r>
        <w:rPr>
          <w:rFonts w:hint="eastAsia" w:ascii="仿宋" w:hAnsi="仿宋" w:eastAsia="仿宋"/>
          <w:b/>
          <w:color w:val="000000"/>
          <w:szCs w:val="32"/>
        </w:rPr>
        <w:t>（四）预算绩效管理情况。</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根据预算绩效管理要求，本单位在2021年度预算编制阶段，组织对取消药品加成、核酸检测费用等4个项目开展了绩效评估，预算执行过程中，选取4个项目开展绩效监控，年终执行完毕后，对4个项目开展了绩效自评，2021年市级部门预算项目绩效目标自评表见附件（第四部分）。</w:t>
      </w:r>
    </w:p>
    <w:p>
      <w:pPr>
        <w:spacing w:line="580" w:lineRule="exact"/>
        <w:ind w:firstLine="640" w:firstLineChars="200"/>
        <w:rPr>
          <w:rFonts w:ascii="仿宋_GB2312" w:hAnsi="仿宋_GB2312" w:cs="仿宋_GB2312"/>
          <w:szCs w:val="32"/>
        </w:rPr>
      </w:pPr>
    </w:p>
    <w:p>
      <w:pPr>
        <w:rPr>
          <w:rStyle w:val="16"/>
          <w:rFonts w:ascii="黑体" w:hAnsi="黑体" w:eastAsia="黑体"/>
          <w:b w:val="0"/>
        </w:rPr>
      </w:pPr>
      <w:bookmarkStart w:id="49" w:name="_Toc15377225"/>
      <w:bookmarkStart w:id="50" w:name="_Toc15396613"/>
      <w:bookmarkStart w:id="51" w:name="_Toc21676"/>
      <w:r>
        <w:rPr>
          <w:rFonts w:hint="eastAsia" w:ascii="黑体" w:hAnsi="黑体" w:eastAsia="黑体"/>
          <w:color w:val="000000"/>
          <w:sz w:val="44"/>
          <w:szCs w:val="44"/>
        </w:rPr>
        <w:br w:type="page"/>
      </w:r>
    </w:p>
    <w:p>
      <w:pPr>
        <w:numPr>
          <w:ilvl w:val="0"/>
          <w:numId w:val="3"/>
        </w:numPr>
        <w:spacing w:line="600" w:lineRule="exact"/>
        <w:ind w:firstLine="660" w:firstLineChars="150"/>
        <w:jc w:val="center"/>
        <w:outlineLvl w:val="0"/>
        <w:rPr>
          <w:rStyle w:val="16"/>
          <w:rFonts w:ascii="黑体" w:hAnsi="黑体" w:eastAsia="黑体"/>
          <w:b w:val="0"/>
        </w:rPr>
      </w:pPr>
      <w:r>
        <w:rPr>
          <w:rFonts w:hint="eastAsia" w:ascii="黑体" w:hAnsi="黑体" w:eastAsia="黑体"/>
          <w:color w:val="000000"/>
          <w:sz w:val="44"/>
          <w:szCs w:val="44"/>
        </w:rPr>
        <w:t>名</w:t>
      </w:r>
      <w:r>
        <w:rPr>
          <w:rStyle w:val="16"/>
          <w:rFonts w:hint="eastAsia" w:ascii="黑体" w:hAnsi="黑体" w:eastAsia="黑体"/>
          <w:b w:val="0"/>
        </w:rPr>
        <w:t>词解释</w:t>
      </w:r>
      <w:bookmarkEnd w:id="49"/>
      <w:bookmarkEnd w:id="50"/>
      <w:bookmarkEnd w:id="51"/>
    </w:p>
    <w:p>
      <w:pPr>
        <w:spacing w:line="600" w:lineRule="exact"/>
        <w:jc w:val="left"/>
        <w:rPr>
          <w:rFonts w:ascii="宋体"/>
          <w:b/>
          <w:color w:val="000000"/>
          <w:sz w:val="44"/>
          <w:szCs w:val="44"/>
        </w:rPr>
      </w:pP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1.财政拨款收入：指单位从同级财政部门取得的财政预算资金。</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2.事业收入：指事业单位开展专业业务活动及辅助活动取得的收入。如我院开展医疗服务活动，按照国家规定收费项目和标准取得的收入等。</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3.其他收入：指单位取得的除上述收入以外的各项收入。主要是利息收入等。</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5.年初结转和结余：指以前年度尚未完成、结转到本年按有关规定继续使用的资金。</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6.结余分配：指事业单位按照事业单位会计制度的规定从非财政补助结余中分配的事业基金和职工福利基金等。</w:t>
      </w:r>
    </w:p>
    <w:p>
      <w:pPr>
        <w:spacing w:line="600" w:lineRule="exact"/>
        <w:ind w:firstLine="640" w:firstLineChars="200"/>
        <w:rPr>
          <w:rFonts w:ascii="仿宋_GB2312"/>
          <w:szCs w:val="32"/>
        </w:rPr>
      </w:pPr>
      <w:r>
        <w:rPr>
          <w:rFonts w:hint="eastAsia" w:ascii="仿宋_GB2312" w:hAnsi="Calibri" w:cs="仿宋"/>
          <w:color w:val="000000"/>
          <w:kern w:val="0"/>
          <w:szCs w:val="32"/>
        </w:rPr>
        <w:t>7.年末结转和结余：指单位按有关规定结转到下年或以后年度继续使用的资金。</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8.一般公共服务（类）其他一般公共服务支出（款）其他一般公共服务支出（项）:除上述项目以外的其他一般公共服务支出。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9.社会保障和就业（类）行政事业单位养老支出（款）事业单位离退休（项）:指本单位开支的离退休经费。。</w:t>
      </w:r>
    </w:p>
    <w:p>
      <w:pPr>
        <w:pStyle w:val="2"/>
        <w:spacing w:before="93"/>
        <w:ind w:firstLine="640" w:firstLineChars="200"/>
        <w:rPr>
          <w:rFonts w:hAnsi="Calibri" w:cs="仿宋"/>
          <w:color w:val="000000"/>
          <w:sz w:val="32"/>
          <w:szCs w:val="32"/>
        </w:rPr>
      </w:pPr>
      <w:r>
        <w:rPr>
          <w:rFonts w:hint="eastAsia" w:hAnsi="Calibri" w:cs="仿宋"/>
          <w:color w:val="000000"/>
          <w:sz w:val="32"/>
          <w:szCs w:val="32"/>
        </w:rPr>
        <w:t xml:space="preserve">10.社会保障和就业（类）行政事业单位养老支出（款）机关事业单位基本养老保险缴费支出（项）: 指本单位职工的基本养老保险缴费支出。 </w:t>
      </w:r>
    </w:p>
    <w:p>
      <w:pPr>
        <w:pStyle w:val="2"/>
        <w:spacing w:before="93"/>
        <w:ind w:firstLine="640" w:firstLineChars="200"/>
        <w:rPr>
          <w:rFonts w:hAnsi="Calibri" w:cs="仿宋"/>
          <w:color w:val="000000"/>
          <w:sz w:val="32"/>
          <w:szCs w:val="32"/>
        </w:rPr>
      </w:pPr>
      <w:r>
        <w:rPr>
          <w:rFonts w:hint="eastAsia" w:hAnsi="Calibri" w:cs="仿宋"/>
          <w:color w:val="000000"/>
          <w:sz w:val="32"/>
          <w:szCs w:val="32"/>
        </w:rPr>
        <w:t>11.社会保障和就业（类）行政事业单位养老支出（款）机关事业单位职业年金缴费支出（项）: 指本单位职工的职业年金缴费支出。</w:t>
      </w:r>
    </w:p>
    <w:p>
      <w:pPr>
        <w:pStyle w:val="2"/>
        <w:spacing w:before="93"/>
        <w:ind w:firstLine="640" w:firstLineChars="200"/>
        <w:rPr>
          <w:rFonts w:hAnsi="Calibri" w:cs="仿宋"/>
          <w:color w:val="000000"/>
          <w:sz w:val="32"/>
          <w:szCs w:val="32"/>
        </w:rPr>
      </w:pPr>
      <w:r>
        <w:rPr>
          <w:rFonts w:hint="eastAsia" w:hAnsi="Calibri" w:cs="仿宋"/>
          <w:color w:val="000000"/>
          <w:sz w:val="32"/>
          <w:szCs w:val="32"/>
        </w:rPr>
        <w:t>12.社会保障和就业（类）社会福利（款）养老服务（项）: 指财政在养老服务方面的补助支出，包括支持居家养老服务、社区养老服务和机构养老服务的支出，对养老服务机构的运营、建设补助支出等，不包括对社会福利事业单位的补助支出。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13.卫生健康（类）公立医院（款）综合医院（项）:指本单位其他用于医疗卫生与计划生育管理事务方面的支出。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14.卫生健康（类）公立医院（款）其他公立医院支出（项）:指本医院其他用于公立医院方面的支出。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15.卫生健康（类）公共卫生（款）基本公共卫生服务（项）:指本单位用于基本公共卫生服务项目方面的支出。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16.卫生健康（类）公共卫生（款）重大公共卫生服务（项）:指本单位用于重大疾病预防控制等重大公共卫生服务项目支出。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17.卫生健康（类）公共卫生（款）突发公共卫生事件应急处理（项）:指用于新冠肺炎疫情防控中央补助金支出等。</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18.卫生健康（类）其他卫生健康支出（款）其他卫生健康支出（项）:指除上述项目以外其他用于卫生健康方面的支出。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19.住房保障支出（类）住房改革支出（款）住房公积金（项）:指行政事业单位按人力资源和社会保障部、财政部规定的基本工资和津贴补贴以及规定比例为职工缴纳的住房公积金。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firstLineChars="200"/>
      </w:pPr>
      <w:r>
        <w:rPr>
          <w:rFonts w:hint="eastAsia" w:ascii="仿宋_GB2312" w:hAnsi="Calibri" w:cs="仿宋"/>
          <w:color w:val="000000"/>
          <w:kern w:val="0"/>
          <w:szCs w:val="32"/>
        </w:rPr>
        <w:t>20.其他支出（类）其他政府性基金及对应专项债务收入安排（款）其他地方自行试点项目收益专项债券收入安排（项）:指新增专项债券用于医院应急医疗和公共卫生服务能力提升支出。</w:t>
      </w:r>
    </w:p>
    <w:p>
      <w:pPr>
        <w:ind w:firstLine="640" w:firstLineChars="200"/>
        <w:rPr>
          <w:rFonts w:ascii="仿宋_GB2312"/>
          <w:color w:val="000000"/>
          <w:szCs w:val="32"/>
        </w:rPr>
      </w:pPr>
      <w:r>
        <w:rPr>
          <w:rFonts w:hint="eastAsia" w:ascii="仿宋_GB2312"/>
          <w:color w:val="000000"/>
          <w:szCs w:val="32"/>
        </w:rPr>
        <w:t>21</w:t>
      </w:r>
      <w:r>
        <w:rPr>
          <w:rFonts w:ascii="仿宋_GB2312"/>
          <w:color w:val="000000"/>
          <w:szCs w:val="32"/>
        </w:rPr>
        <w:t>.</w:t>
      </w:r>
      <w:r>
        <w:rPr>
          <w:rFonts w:hint="eastAsia" w:ascii="仿宋_GB2312"/>
          <w:color w:val="000000"/>
          <w:szCs w:val="32"/>
        </w:rPr>
        <w:t>基本支出：指为保障机构正常运转、完成日常工作任务而发生的人员支出和公用支出。</w:t>
      </w:r>
    </w:p>
    <w:p>
      <w:pPr>
        <w:ind w:firstLine="640" w:firstLineChars="200"/>
        <w:rPr>
          <w:rFonts w:ascii="仿宋_GB2312"/>
          <w:color w:val="000000"/>
          <w:szCs w:val="32"/>
        </w:rPr>
      </w:pPr>
      <w:r>
        <w:rPr>
          <w:rFonts w:hint="eastAsia" w:ascii="仿宋_GB2312"/>
          <w:color w:val="000000"/>
          <w:szCs w:val="32"/>
        </w:rPr>
        <w:t>22</w:t>
      </w:r>
      <w:r>
        <w:rPr>
          <w:rFonts w:ascii="仿宋_GB2312"/>
          <w:color w:val="000000"/>
          <w:szCs w:val="32"/>
        </w:rPr>
        <w:t>.</w:t>
      </w:r>
      <w:r>
        <w:rPr>
          <w:rFonts w:hint="eastAsia" w:ascii="仿宋_GB2312"/>
          <w:color w:val="000000"/>
          <w:szCs w:val="32"/>
        </w:rPr>
        <w:t>项目支出：指在基本支出之外为完成特定行政任务和事业发展目标所发生的支出。</w:t>
      </w:r>
    </w:p>
    <w:p>
      <w:pPr>
        <w:pStyle w:val="19"/>
        <w:spacing w:line="560" w:lineRule="exact"/>
        <w:ind w:firstLine="640" w:firstLineChars="200"/>
        <w:rPr>
          <w:rFonts w:ascii="仿宋_GB2312" w:eastAsia="仿宋_GB2312"/>
          <w:sz w:val="32"/>
          <w:szCs w:val="32"/>
        </w:rPr>
        <w:sectPr>
          <w:footerReference r:id="rId5" w:type="default"/>
          <w:pgSz w:w="11906" w:h="16838"/>
          <w:pgMar w:top="1440" w:right="1800" w:bottom="998" w:left="1800" w:header="851" w:footer="992" w:gutter="0"/>
          <w:pgNumType w:fmt="decimal"/>
          <w:cols w:space="425" w:num="1"/>
          <w:docGrid w:type="lines" w:linePitch="312" w:charSpace="0"/>
        </w:sectPr>
      </w:pPr>
      <w:r>
        <w:rPr>
          <w:rFonts w:hint="eastAsia" w:ascii="仿宋_GB2312" w:eastAsia="仿宋_GB2312"/>
          <w:sz w:val="32"/>
          <w:szCs w:val="32"/>
        </w:rPr>
        <w:t>23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pacing w:line="600" w:lineRule="exact"/>
        <w:ind w:firstLine="660" w:firstLineChars="150"/>
        <w:jc w:val="center"/>
        <w:outlineLvl w:val="0"/>
        <w:rPr>
          <w:rFonts w:ascii="黑体" w:hAnsi="黑体" w:eastAsia="黑体"/>
          <w:color w:val="000000"/>
          <w:sz w:val="44"/>
          <w:szCs w:val="44"/>
        </w:rPr>
      </w:pPr>
      <w:r>
        <w:rPr>
          <w:rFonts w:hint="eastAsia" w:ascii="黑体" w:hAnsi="黑体" w:eastAsia="黑体"/>
          <w:color w:val="000000"/>
          <w:sz w:val="44"/>
          <w:szCs w:val="44"/>
        </w:rPr>
        <w:t>第四部分 附件</w:t>
      </w:r>
    </w:p>
    <w:p>
      <w:pPr>
        <w:widowControl/>
        <w:jc w:val="left"/>
        <w:rPr>
          <w:rFonts w:ascii="黑体" w:hAnsi="黑体" w:eastAsia="黑体" w:cs="黑体"/>
          <w:sz w:val="36"/>
          <w:szCs w:val="36"/>
        </w:rPr>
      </w:pPr>
      <w:r>
        <w:rPr>
          <w:rFonts w:hint="eastAsia" w:ascii="黑体" w:hAnsi="黑体" w:eastAsia="黑体" w:cs="黑体"/>
          <w:sz w:val="36"/>
          <w:szCs w:val="36"/>
        </w:rPr>
        <w:t>附件1</w:t>
      </w:r>
    </w:p>
    <w:tbl>
      <w:tblPr>
        <w:tblStyle w:val="12"/>
        <w:tblW w:w="9366" w:type="dxa"/>
        <w:jc w:val="center"/>
        <w:tblLayout w:type="fixed"/>
        <w:tblCellMar>
          <w:top w:w="0" w:type="dxa"/>
          <w:left w:w="108" w:type="dxa"/>
          <w:bottom w:w="0" w:type="dxa"/>
          <w:right w:w="108" w:type="dxa"/>
        </w:tblCellMar>
      </w:tblPr>
      <w:tblGrid>
        <w:gridCol w:w="575"/>
        <w:gridCol w:w="961"/>
        <w:gridCol w:w="1089"/>
        <w:gridCol w:w="715"/>
        <w:gridCol w:w="1111"/>
        <w:gridCol w:w="515"/>
        <w:gridCol w:w="846"/>
        <w:gridCol w:w="1304"/>
        <w:gridCol w:w="481"/>
        <w:gridCol w:w="629"/>
        <w:gridCol w:w="440"/>
        <w:gridCol w:w="700"/>
      </w:tblGrid>
      <w:tr>
        <w:trPr>
          <w:trHeight w:val="267" w:hRule="exact"/>
          <w:jc w:val="center"/>
        </w:trPr>
        <w:tc>
          <w:tcPr>
            <w:tcW w:w="9366" w:type="dxa"/>
            <w:gridSpan w:val="12"/>
            <w:tcBorders>
              <w:top w:val="nil"/>
              <w:left w:val="nil"/>
              <w:bottom w:val="nil"/>
              <w:right w:val="nil"/>
            </w:tcBorders>
            <w:noWrap/>
            <w:vAlign w:val="center"/>
          </w:tcPr>
          <w:p>
            <w:pPr>
              <w:widowControl/>
              <w:spacing w:line="320" w:lineRule="exact"/>
              <w:jc w:val="center"/>
              <w:rPr>
                <w:rFonts w:ascii="宋体" w:hAnsi="宋体" w:eastAsia="宋体" w:cs="宋体"/>
                <w:b/>
                <w:bCs/>
                <w:kern w:val="0"/>
                <w:szCs w:val="30"/>
              </w:rPr>
            </w:pPr>
            <w:r>
              <w:rPr>
                <w:rFonts w:hint="eastAsia" w:eastAsia="方正小标宋简体"/>
                <w:bCs/>
                <w:color w:val="000000"/>
                <w:kern w:val="0"/>
                <w:sz w:val="30"/>
                <w:szCs w:val="30"/>
              </w:rPr>
              <w:t>市级项目支出绩效自评表</w:t>
            </w:r>
          </w:p>
        </w:tc>
      </w:tr>
      <w:tr>
        <w:trPr>
          <w:trHeight w:val="90" w:hRule="atLeast"/>
          <w:jc w:val="center"/>
        </w:trPr>
        <w:tc>
          <w:tcPr>
            <w:tcW w:w="9366" w:type="dxa"/>
            <w:gridSpan w:val="12"/>
            <w:tcBorders>
              <w:top w:val="nil"/>
              <w:left w:val="nil"/>
              <w:bottom w:val="nil"/>
              <w:right w:val="nil"/>
            </w:tcBorders>
            <w:noWrap/>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202</w:t>
            </w:r>
            <w:r>
              <w:rPr>
                <w:rFonts w:hint="eastAsia" w:ascii="宋体" w:hAnsi="宋体" w:eastAsia="宋体" w:cs="宋体"/>
                <w:kern w:val="0"/>
                <w:sz w:val="22"/>
              </w:rPr>
              <w:t>1年度）</w:t>
            </w:r>
          </w:p>
        </w:tc>
      </w:tr>
      <w:tr>
        <w:trPr>
          <w:trHeight w:val="2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830" w:type="dxa"/>
            <w:gridSpan w:val="10"/>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取消药品加成财政补助资金</w:t>
            </w:r>
          </w:p>
        </w:tc>
      </w:tr>
      <w:tr>
        <w:trPr>
          <w:trHeight w:val="2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276"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市卫健委</w:t>
            </w:r>
          </w:p>
        </w:tc>
        <w:tc>
          <w:tcPr>
            <w:tcW w:w="178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176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自贡市第三人民医院</w:t>
            </w:r>
          </w:p>
        </w:tc>
      </w:tr>
      <w:tr>
        <w:trPr>
          <w:trHeight w:val="441"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36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78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6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262.12</w:t>
            </w:r>
          </w:p>
        </w:tc>
        <w:tc>
          <w:tcPr>
            <w:tcW w:w="178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262.12</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4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6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262.12</w:t>
            </w:r>
          </w:p>
        </w:tc>
        <w:tc>
          <w:tcPr>
            <w:tcW w:w="178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262.12</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6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78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6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78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44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57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237"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rPr>
          <w:trHeight w:val="267" w:hRule="exact"/>
          <w:jc w:val="center"/>
        </w:trPr>
        <w:tc>
          <w:tcPr>
            <w:tcW w:w="57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5237"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554"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92" w:hRule="exact"/>
          <w:jc w:val="center"/>
        </w:trPr>
        <w:tc>
          <w:tcPr>
            <w:tcW w:w="575"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完成指标（分值共5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指标1：完成院内维修改造</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3个</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指标1：验收合格率</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指标2：工程完成进度</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效益指标（分值共3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46" w:type="dxa"/>
            <w:tcBorders>
              <w:top w:val="nil"/>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指标1：改善病人就医环境</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达到验收标准</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524"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指标（分值共1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指标1：病人满意度</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304" w:type="dxa"/>
            <w:tcBorders>
              <w:top w:val="nil"/>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ascii="Arial" w:hAnsi="Arial" w:eastAsia="宋体" w:cs="Arial"/>
                <w:kern w:val="0"/>
                <w:sz w:val="18"/>
                <w:szCs w:val="18"/>
              </w:rPr>
              <w:t>≥</w:t>
            </w:r>
            <w:r>
              <w:rPr>
                <w:rFonts w:hint="eastAsia" w:ascii="宋体" w:hAnsi="宋体" w:eastAsia="宋体" w:cs="宋体"/>
                <w:kern w:val="0"/>
                <w:sz w:val="18"/>
                <w:szCs w:val="18"/>
              </w:rPr>
              <w:t>90%</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94" w:hRule="exact"/>
          <w:jc w:val="center"/>
        </w:trPr>
        <w:tc>
          <w:tcPr>
            <w:tcW w:w="5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41"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4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2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0"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312" w:hRule="exact"/>
          <w:jc w:val="center"/>
        </w:trPr>
        <w:tc>
          <w:tcPr>
            <w:tcW w:w="5812"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30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8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p>
        </w:tc>
        <w:tc>
          <w:tcPr>
            <w:tcW w:w="1769"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bl>
    <w:p>
      <w:pPr>
        <w:widowControl/>
        <w:jc w:val="left"/>
      </w:pPr>
      <w:bookmarkStart w:id="52" w:name="_Toc15377226"/>
      <w:r>
        <w:rPr>
          <w:rFonts w:hint="eastAsia" w:ascii="宋体" w:hAnsi="宋体" w:eastAsia="宋体" w:cs="宋体"/>
          <w:kern w:val="0"/>
          <w:sz w:val="18"/>
          <w:szCs w:val="18"/>
        </w:rPr>
        <w:t>备注：预算执行分值为1</w:t>
      </w:r>
      <w:r>
        <w:rPr>
          <w:rFonts w:ascii="宋体" w:hAnsi="宋体" w:eastAsia="宋体" w:cs="宋体"/>
          <w:kern w:val="0"/>
          <w:sz w:val="18"/>
          <w:szCs w:val="18"/>
        </w:rPr>
        <w:t>0</w:t>
      </w:r>
      <w:r>
        <w:rPr>
          <w:rFonts w:hint="eastAsia" w:ascii="宋体" w:hAnsi="宋体" w:eastAsia="宋体" w:cs="宋体"/>
          <w:kern w:val="0"/>
          <w:sz w:val="18"/>
          <w:szCs w:val="18"/>
        </w:rPr>
        <w:t>分、产出指标分值为5</w:t>
      </w:r>
      <w:r>
        <w:rPr>
          <w:rFonts w:ascii="宋体" w:hAnsi="宋体" w:eastAsia="宋体" w:cs="宋体"/>
          <w:kern w:val="0"/>
          <w:sz w:val="18"/>
          <w:szCs w:val="18"/>
        </w:rPr>
        <w:t>0</w:t>
      </w:r>
      <w:r>
        <w:rPr>
          <w:rFonts w:hint="eastAsia" w:ascii="宋体" w:hAnsi="宋体" w:eastAsia="宋体" w:cs="宋体"/>
          <w:kern w:val="0"/>
          <w:sz w:val="18"/>
          <w:szCs w:val="18"/>
        </w:rPr>
        <w:t>分、效益指标分值为3</w:t>
      </w:r>
      <w:r>
        <w:rPr>
          <w:rFonts w:ascii="宋体" w:hAnsi="宋体" w:eastAsia="宋体" w:cs="宋体"/>
          <w:kern w:val="0"/>
          <w:sz w:val="18"/>
          <w:szCs w:val="18"/>
        </w:rPr>
        <w:t>0</w:t>
      </w:r>
      <w:r>
        <w:rPr>
          <w:rFonts w:hint="eastAsia" w:ascii="宋体" w:hAnsi="宋体" w:eastAsia="宋体" w:cs="宋体"/>
          <w:kern w:val="0"/>
          <w:sz w:val="18"/>
          <w:szCs w:val="18"/>
        </w:rPr>
        <w:t>分、满意度指标分值为1</w:t>
      </w:r>
      <w:r>
        <w:rPr>
          <w:rFonts w:ascii="宋体" w:hAnsi="宋体" w:eastAsia="宋体" w:cs="宋体"/>
          <w:kern w:val="0"/>
          <w:sz w:val="18"/>
          <w:szCs w:val="18"/>
        </w:rPr>
        <w:t>0</w:t>
      </w:r>
      <w:r>
        <w:rPr>
          <w:rFonts w:hint="eastAsia" w:ascii="宋体" w:hAnsi="宋体" w:eastAsia="宋体" w:cs="宋体"/>
          <w:kern w:val="0"/>
          <w:sz w:val="18"/>
          <w:szCs w:val="18"/>
        </w:rPr>
        <w:t>分。</w:t>
      </w:r>
    </w:p>
    <w:p>
      <w:pPr>
        <w:rPr>
          <w:rFonts w:ascii="黑体" w:hAnsi="黑体" w:eastAsia="黑体" w:cs="黑体"/>
          <w:szCs w:val="32"/>
        </w:rPr>
      </w:pPr>
      <w:r>
        <w:rPr>
          <w:rFonts w:ascii="黑体" w:hAnsi="黑体" w:eastAsia="黑体" w:cs="黑体"/>
          <w:szCs w:val="32"/>
        </w:rPr>
        <w:br w:type="page"/>
      </w:r>
    </w:p>
    <w:p>
      <w:pPr>
        <w:widowControl/>
        <w:jc w:val="left"/>
        <w:rPr>
          <w:rFonts w:ascii="黑体" w:hAnsi="黑体" w:eastAsia="黑体" w:cs="黑体"/>
          <w:sz w:val="36"/>
          <w:szCs w:val="36"/>
        </w:rPr>
      </w:pPr>
      <w:r>
        <w:rPr>
          <w:rFonts w:hint="eastAsia" w:ascii="黑体" w:hAnsi="黑体" w:eastAsia="黑体" w:cs="黑体"/>
          <w:sz w:val="36"/>
          <w:szCs w:val="36"/>
        </w:rPr>
        <w:t>附件2</w:t>
      </w:r>
    </w:p>
    <w:tbl>
      <w:tblPr>
        <w:tblStyle w:val="12"/>
        <w:tblW w:w="8900" w:type="dxa"/>
        <w:jc w:val="center"/>
        <w:tblLayout w:type="fixed"/>
        <w:tblCellMar>
          <w:top w:w="0" w:type="dxa"/>
          <w:left w:w="108" w:type="dxa"/>
          <w:bottom w:w="0" w:type="dxa"/>
          <w:right w:w="108" w:type="dxa"/>
        </w:tblCellMar>
      </w:tblPr>
      <w:tblGrid>
        <w:gridCol w:w="574"/>
        <w:gridCol w:w="961"/>
        <w:gridCol w:w="1088"/>
        <w:gridCol w:w="714"/>
        <w:gridCol w:w="1111"/>
        <w:gridCol w:w="539"/>
        <w:gridCol w:w="576"/>
        <w:gridCol w:w="1053"/>
        <w:gridCol w:w="58"/>
        <w:gridCol w:w="351"/>
        <w:gridCol w:w="342"/>
        <w:gridCol w:w="139"/>
        <w:gridCol w:w="694"/>
        <w:gridCol w:w="700"/>
      </w:tblGrid>
      <w:tr>
        <w:trPr>
          <w:trHeight w:val="267" w:hRule="exact"/>
          <w:jc w:val="center"/>
        </w:trPr>
        <w:tc>
          <w:tcPr>
            <w:tcW w:w="8900" w:type="dxa"/>
            <w:gridSpan w:val="14"/>
            <w:tcBorders>
              <w:top w:val="nil"/>
              <w:left w:val="nil"/>
              <w:bottom w:val="nil"/>
              <w:right w:val="nil"/>
            </w:tcBorders>
            <w:noWrap/>
            <w:vAlign w:val="center"/>
          </w:tcPr>
          <w:p>
            <w:pPr>
              <w:widowControl/>
              <w:spacing w:line="320" w:lineRule="exact"/>
              <w:jc w:val="center"/>
              <w:rPr>
                <w:rFonts w:ascii="宋体" w:hAnsi="宋体" w:eastAsia="宋体" w:cs="宋体"/>
                <w:b/>
                <w:bCs/>
                <w:kern w:val="0"/>
                <w:szCs w:val="30"/>
              </w:rPr>
            </w:pPr>
            <w:r>
              <w:rPr>
                <w:rFonts w:hint="eastAsia" w:eastAsia="方正小标宋简体"/>
                <w:bCs/>
                <w:color w:val="000000"/>
                <w:kern w:val="0"/>
                <w:sz w:val="30"/>
                <w:szCs w:val="30"/>
              </w:rPr>
              <w:t>市级项目支出绩效自评表</w:t>
            </w:r>
          </w:p>
        </w:tc>
      </w:tr>
      <w:tr>
        <w:trPr>
          <w:trHeight w:val="90" w:hRule="atLeast"/>
          <w:jc w:val="center"/>
        </w:trPr>
        <w:tc>
          <w:tcPr>
            <w:tcW w:w="8900" w:type="dxa"/>
            <w:gridSpan w:val="14"/>
            <w:tcBorders>
              <w:top w:val="nil"/>
              <w:left w:val="nil"/>
              <w:bottom w:val="nil"/>
              <w:right w:val="nil"/>
            </w:tcBorders>
            <w:noWrap/>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202</w:t>
            </w:r>
            <w:r>
              <w:rPr>
                <w:rFonts w:hint="eastAsia" w:ascii="宋体" w:hAnsi="宋体" w:eastAsia="宋体" w:cs="宋体"/>
                <w:kern w:val="0"/>
                <w:sz w:val="22"/>
              </w:rPr>
              <w:t>1年度）</w:t>
            </w:r>
          </w:p>
        </w:tc>
      </w:tr>
      <w:tr>
        <w:trPr>
          <w:trHeight w:val="267" w:hRule="exact"/>
          <w:jc w:val="center"/>
        </w:trPr>
        <w:tc>
          <w:tcPr>
            <w:tcW w:w="153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65"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名医名科名院建设和医疗安全管理</w:t>
            </w:r>
          </w:p>
        </w:tc>
      </w:tr>
      <w:tr>
        <w:trPr>
          <w:trHeight w:val="267" w:hRule="exact"/>
          <w:jc w:val="center"/>
        </w:trPr>
        <w:tc>
          <w:tcPr>
            <w:tcW w:w="153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28"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市卫健委</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自贡市第三人民医院</w:t>
            </w:r>
          </w:p>
        </w:tc>
      </w:tr>
      <w:tr>
        <w:trPr>
          <w:trHeight w:val="267" w:hRule="exact"/>
          <w:jc w:val="center"/>
        </w:trPr>
        <w:tc>
          <w:tcPr>
            <w:tcW w:w="1535"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rPr>
          <w:trHeight w:val="267" w:hRule="exact"/>
          <w:jc w:val="center"/>
        </w:trPr>
        <w:tc>
          <w:tcPr>
            <w:tcW w:w="15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11.91</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11.41</w:t>
            </w: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95.8%</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267" w:hRule="exact"/>
          <w:jc w:val="center"/>
        </w:trPr>
        <w:tc>
          <w:tcPr>
            <w:tcW w:w="15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11.91</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11.41</w:t>
            </w: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95.8%</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5"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5"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574"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89"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3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rPr>
          <w:trHeight w:val="267" w:hRule="exact"/>
          <w:jc w:val="center"/>
        </w:trPr>
        <w:tc>
          <w:tcPr>
            <w:tcW w:w="574"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989"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33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32" w:hRule="exact"/>
          <w:jc w:val="center"/>
        </w:trPr>
        <w:tc>
          <w:tcPr>
            <w:tcW w:w="574"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8"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完成指标（分值共5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指标1：开展新技术项目</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40个</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指标1：医疗质量提高</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得到提高</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效益指标（分值共3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指标1：医疗服务能力</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得到提升</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指标（分值共1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指标1：提高病人满意度</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得到提高</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4"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94" w:hRule="exact"/>
          <w:jc w:val="center"/>
        </w:trPr>
        <w:tc>
          <w:tcPr>
            <w:tcW w:w="57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36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312" w:hRule="exact"/>
          <w:jc w:val="center"/>
        </w:trPr>
        <w:tc>
          <w:tcPr>
            <w:tcW w:w="6616"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bl>
    <w:p>
      <w:pPr>
        <w:pStyle w:val="2"/>
        <w:spacing w:before="93"/>
        <w:rPr>
          <w:rFonts w:ascii="宋体" w:hAnsi="宋体" w:eastAsia="宋体" w:cs="宋体"/>
          <w:sz w:val="18"/>
          <w:szCs w:val="18"/>
        </w:rPr>
      </w:pPr>
      <w:r>
        <w:rPr>
          <w:rFonts w:hint="eastAsia" w:ascii="宋体" w:hAnsi="宋体" w:eastAsia="宋体" w:cs="宋体"/>
          <w:sz w:val="18"/>
          <w:szCs w:val="18"/>
        </w:rPr>
        <w:t>备注：预算执行分值为1</w:t>
      </w:r>
      <w:r>
        <w:rPr>
          <w:rFonts w:ascii="宋体" w:hAnsi="宋体" w:eastAsia="宋体" w:cs="宋体"/>
          <w:sz w:val="18"/>
          <w:szCs w:val="18"/>
        </w:rPr>
        <w:t>0</w:t>
      </w:r>
      <w:r>
        <w:rPr>
          <w:rFonts w:hint="eastAsia" w:ascii="宋体" w:hAnsi="宋体" w:eastAsia="宋体" w:cs="宋体"/>
          <w:sz w:val="18"/>
          <w:szCs w:val="18"/>
        </w:rPr>
        <w:t>分、产出指标分值为5</w:t>
      </w:r>
      <w:r>
        <w:rPr>
          <w:rFonts w:ascii="宋体" w:hAnsi="宋体" w:eastAsia="宋体" w:cs="宋体"/>
          <w:sz w:val="18"/>
          <w:szCs w:val="18"/>
        </w:rPr>
        <w:t>0</w:t>
      </w:r>
      <w:r>
        <w:rPr>
          <w:rFonts w:hint="eastAsia" w:ascii="宋体" w:hAnsi="宋体" w:eastAsia="宋体" w:cs="宋体"/>
          <w:sz w:val="18"/>
          <w:szCs w:val="18"/>
        </w:rPr>
        <w:t>分、效益指标分值为3</w:t>
      </w:r>
      <w:r>
        <w:rPr>
          <w:rFonts w:ascii="宋体" w:hAnsi="宋体" w:eastAsia="宋体" w:cs="宋体"/>
          <w:sz w:val="18"/>
          <w:szCs w:val="18"/>
        </w:rPr>
        <w:t>0</w:t>
      </w:r>
      <w:r>
        <w:rPr>
          <w:rFonts w:hint="eastAsia" w:ascii="宋体" w:hAnsi="宋体" w:eastAsia="宋体" w:cs="宋体"/>
          <w:sz w:val="18"/>
          <w:szCs w:val="18"/>
        </w:rPr>
        <w:t>分、满意度指标分值为1</w:t>
      </w:r>
      <w:r>
        <w:rPr>
          <w:rFonts w:ascii="宋体" w:hAnsi="宋体" w:eastAsia="宋体" w:cs="宋体"/>
          <w:sz w:val="18"/>
          <w:szCs w:val="18"/>
        </w:rPr>
        <w:t>0</w:t>
      </w:r>
      <w:r>
        <w:rPr>
          <w:rFonts w:hint="eastAsia" w:ascii="宋体" w:hAnsi="宋体" w:eastAsia="宋体" w:cs="宋体"/>
          <w:sz w:val="18"/>
          <w:szCs w:val="18"/>
        </w:rPr>
        <w:t>分。</w:t>
      </w:r>
    </w:p>
    <w:p>
      <w:pPr>
        <w:rPr>
          <w:rFonts w:ascii="宋体" w:hAnsi="宋体" w:eastAsia="宋体" w:cs="宋体"/>
          <w:kern w:val="0"/>
          <w:sz w:val="18"/>
          <w:szCs w:val="18"/>
        </w:rPr>
      </w:pPr>
      <w:r>
        <w:rPr>
          <w:rFonts w:hint="eastAsia" w:ascii="宋体" w:hAnsi="宋体" w:eastAsia="宋体" w:cs="宋体"/>
          <w:kern w:val="0"/>
          <w:sz w:val="18"/>
          <w:szCs w:val="18"/>
        </w:rPr>
        <w:br w:type="page"/>
      </w:r>
    </w:p>
    <w:p>
      <w:pPr>
        <w:widowControl/>
        <w:jc w:val="left"/>
        <w:rPr>
          <w:rFonts w:ascii="黑体" w:hAnsi="黑体" w:eastAsia="黑体" w:cs="黑体"/>
          <w:szCs w:val="32"/>
        </w:rPr>
      </w:pPr>
      <w:r>
        <w:rPr>
          <w:rFonts w:hint="eastAsia" w:ascii="黑体" w:hAnsi="黑体" w:eastAsia="黑体" w:cs="黑体"/>
          <w:szCs w:val="32"/>
        </w:rPr>
        <w:t>附件3</w:t>
      </w:r>
    </w:p>
    <w:tbl>
      <w:tblPr>
        <w:tblStyle w:val="12"/>
        <w:tblW w:w="8900" w:type="dxa"/>
        <w:jc w:val="center"/>
        <w:tblLayout w:type="fixed"/>
        <w:tblCellMar>
          <w:top w:w="0" w:type="dxa"/>
          <w:left w:w="108" w:type="dxa"/>
          <w:bottom w:w="0" w:type="dxa"/>
          <w:right w:w="108" w:type="dxa"/>
        </w:tblCellMar>
      </w:tblPr>
      <w:tblGrid>
        <w:gridCol w:w="575"/>
        <w:gridCol w:w="961"/>
        <w:gridCol w:w="1089"/>
        <w:gridCol w:w="715"/>
        <w:gridCol w:w="1111"/>
        <w:gridCol w:w="278"/>
        <w:gridCol w:w="834"/>
        <w:gridCol w:w="1111"/>
        <w:gridCol w:w="37"/>
        <w:gridCol w:w="396"/>
        <w:gridCol w:w="260"/>
        <w:gridCol w:w="139"/>
        <w:gridCol w:w="694"/>
        <w:gridCol w:w="700"/>
      </w:tblGrid>
      <w:tr>
        <w:trPr>
          <w:trHeight w:val="267" w:hRule="exact"/>
          <w:jc w:val="center"/>
        </w:trPr>
        <w:tc>
          <w:tcPr>
            <w:tcW w:w="8900" w:type="dxa"/>
            <w:gridSpan w:val="14"/>
            <w:tcBorders>
              <w:top w:val="nil"/>
              <w:left w:val="nil"/>
              <w:bottom w:val="nil"/>
              <w:right w:val="nil"/>
            </w:tcBorders>
            <w:noWrap/>
            <w:vAlign w:val="center"/>
          </w:tcPr>
          <w:p>
            <w:pPr>
              <w:widowControl/>
              <w:spacing w:line="320" w:lineRule="exact"/>
              <w:jc w:val="center"/>
              <w:rPr>
                <w:rFonts w:ascii="宋体" w:hAnsi="宋体" w:eastAsia="宋体" w:cs="宋体"/>
                <w:b/>
                <w:bCs/>
                <w:kern w:val="0"/>
                <w:szCs w:val="30"/>
              </w:rPr>
            </w:pPr>
            <w:r>
              <w:rPr>
                <w:rFonts w:hint="eastAsia" w:eastAsia="方正小标宋简体"/>
                <w:bCs/>
                <w:color w:val="000000"/>
                <w:kern w:val="0"/>
                <w:sz w:val="30"/>
                <w:szCs w:val="30"/>
              </w:rPr>
              <w:t>市级项目支出绩效自评表</w:t>
            </w:r>
          </w:p>
        </w:tc>
      </w:tr>
      <w:tr>
        <w:trPr>
          <w:trHeight w:val="90" w:hRule="atLeast"/>
          <w:jc w:val="center"/>
        </w:trPr>
        <w:tc>
          <w:tcPr>
            <w:tcW w:w="8900" w:type="dxa"/>
            <w:gridSpan w:val="14"/>
            <w:tcBorders>
              <w:top w:val="nil"/>
              <w:left w:val="nil"/>
              <w:bottom w:val="nil"/>
              <w:right w:val="nil"/>
            </w:tcBorders>
            <w:noWrap/>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202</w:t>
            </w:r>
            <w:r>
              <w:rPr>
                <w:rFonts w:hint="eastAsia" w:ascii="宋体" w:hAnsi="宋体" w:eastAsia="宋体" w:cs="宋体"/>
                <w:kern w:val="0"/>
                <w:sz w:val="22"/>
              </w:rPr>
              <w:t>1年度）</w:t>
            </w:r>
          </w:p>
        </w:tc>
      </w:tr>
      <w:tr>
        <w:trPr>
          <w:trHeight w:val="2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64"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新冠核酸检测费用</w:t>
            </w:r>
          </w:p>
        </w:tc>
      </w:tr>
      <w:tr>
        <w:trPr>
          <w:trHeight w:val="2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27"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市卫健委</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自贡市第三人民医院</w:t>
            </w:r>
          </w:p>
        </w:tc>
      </w:tr>
      <w:tr>
        <w:trPr>
          <w:trHeight w:val="267"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全年执行2424数</w:t>
            </w:r>
          </w:p>
        </w:tc>
        <w:tc>
          <w:tcPr>
            <w:tcW w:w="693"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153.47</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153.47</w:t>
            </w:r>
          </w:p>
        </w:tc>
        <w:tc>
          <w:tcPr>
            <w:tcW w:w="693"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153.47</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153.27</w:t>
            </w:r>
          </w:p>
        </w:tc>
        <w:tc>
          <w:tcPr>
            <w:tcW w:w="693"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93"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93"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57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88"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3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rPr>
          <w:trHeight w:val="267" w:hRule="exact"/>
          <w:jc w:val="center"/>
        </w:trPr>
        <w:tc>
          <w:tcPr>
            <w:tcW w:w="57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988"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33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32" w:hRule="exact"/>
          <w:jc w:val="center"/>
        </w:trPr>
        <w:tc>
          <w:tcPr>
            <w:tcW w:w="575"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rPr>
          <w:trHeight w:val="444"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完成指标（分值共5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04" w:type="dxa"/>
            <w:gridSpan w:val="3"/>
            <w:tcBorders>
              <w:top w:val="single" w:color="auto" w:sz="4" w:space="0"/>
              <w:left w:val="nil"/>
              <w:bottom w:val="single" w:color="auto" w:sz="4" w:space="0"/>
              <w:right w:val="single" w:color="auto" w:sz="4" w:space="0"/>
            </w:tcBorders>
            <w:noWrap/>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指标1：具备2000份/天的核酸检测能力次</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2000份/天</w:t>
            </w: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608"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指标1：检测准确率</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效益指标（分值共3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1126"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04" w:type="dxa"/>
            <w:gridSpan w:val="3"/>
            <w:tcBorders>
              <w:top w:val="single" w:color="auto" w:sz="4" w:space="0"/>
              <w:left w:val="nil"/>
              <w:bottom w:val="single" w:color="auto" w:sz="4" w:space="0"/>
              <w:right w:val="single" w:color="auto" w:sz="4" w:space="0"/>
            </w:tcBorders>
            <w:noWrap/>
          </w:tcPr>
          <w:p>
            <w:pPr>
              <w:widowControl/>
              <w:tabs>
                <w:tab w:val="center" w:pos="944"/>
              </w:tabs>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指标1：形成快速反应的调集机制，具备在发生局部聚性疫情时较短时间内完成核酸检测能力</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523"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指标（分值共1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指标1：提高社会满意度</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得到提高</w:t>
            </w: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94" w:hRule="exact"/>
          <w:jc w:val="center"/>
        </w:trPr>
        <w:tc>
          <w:tcPr>
            <w:tcW w:w="5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48"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312" w:hRule="exact"/>
          <w:jc w:val="center"/>
        </w:trPr>
        <w:tc>
          <w:tcPr>
            <w:tcW w:w="6711" w:type="dxa"/>
            <w:gridSpan w:val="9"/>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39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39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bl>
    <w:p>
      <w:pPr>
        <w:widowControl/>
        <w:jc w:val="left"/>
        <w:rPr>
          <w:rFonts w:ascii="宋体" w:hAnsi="宋体" w:eastAsia="宋体" w:cs="宋体"/>
          <w:kern w:val="0"/>
          <w:sz w:val="18"/>
          <w:szCs w:val="18"/>
        </w:rPr>
      </w:pPr>
      <w:r>
        <w:rPr>
          <w:rFonts w:hint="eastAsia" w:ascii="宋体" w:hAnsi="宋体" w:eastAsia="宋体" w:cs="宋体"/>
          <w:kern w:val="0"/>
          <w:sz w:val="18"/>
          <w:szCs w:val="18"/>
        </w:rPr>
        <w:t>备注：预算执行分值为1</w:t>
      </w:r>
      <w:r>
        <w:rPr>
          <w:rFonts w:ascii="宋体" w:hAnsi="宋体" w:eastAsia="宋体" w:cs="宋体"/>
          <w:kern w:val="0"/>
          <w:sz w:val="18"/>
          <w:szCs w:val="18"/>
        </w:rPr>
        <w:t>0</w:t>
      </w:r>
      <w:r>
        <w:rPr>
          <w:rFonts w:hint="eastAsia" w:ascii="宋体" w:hAnsi="宋体" w:eastAsia="宋体" w:cs="宋体"/>
          <w:kern w:val="0"/>
          <w:sz w:val="18"/>
          <w:szCs w:val="18"/>
        </w:rPr>
        <w:t>分、产出指标分值为5</w:t>
      </w:r>
      <w:r>
        <w:rPr>
          <w:rFonts w:ascii="宋体" w:hAnsi="宋体" w:eastAsia="宋体" w:cs="宋体"/>
          <w:kern w:val="0"/>
          <w:sz w:val="18"/>
          <w:szCs w:val="18"/>
        </w:rPr>
        <w:t>0</w:t>
      </w:r>
      <w:r>
        <w:rPr>
          <w:rFonts w:hint="eastAsia" w:ascii="宋体" w:hAnsi="宋体" w:eastAsia="宋体" w:cs="宋体"/>
          <w:kern w:val="0"/>
          <w:sz w:val="18"/>
          <w:szCs w:val="18"/>
        </w:rPr>
        <w:t>分、效益指标分值为3</w:t>
      </w:r>
      <w:r>
        <w:rPr>
          <w:rFonts w:ascii="宋体" w:hAnsi="宋体" w:eastAsia="宋体" w:cs="宋体"/>
          <w:kern w:val="0"/>
          <w:sz w:val="18"/>
          <w:szCs w:val="18"/>
        </w:rPr>
        <w:t>0</w:t>
      </w:r>
      <w:r>
        <w:rPr>
          <w:rFonts w:hint="eastAsia" w:ascii="宋体" w:hAnsi="宋体" w:eastAsia="宋体" w:cs="宋体"/>
          <w:kern w:val="0"/>
          <w:sz w:val="18"/>
          <w:szCs w:val="18"/>
        </w:rPr>
        <w:t>分、满意度指标分值为1</w:t>
      </w:r>
      <w:r>
        <w:rPr>
          <w:rFonts w:ascii="宋体" w:hAnsi="宋体" w:eastAsia="宋体" w:cs="宋体"/>
          <w:kern w:val="0"/>
          <w:sz w:val="18"/>
          <w:szCs w:val="18"/>
        </w:rPr>
        <w:t>0</w:t>
      </w:r>
      <w:r>
        <w:rPr>
          <w:rFonts w:hint="eastAsia" w:ascii="宋体" w:hAnsi="宋体" w:eastAsia="宋体" w:cs="宋体"/>
          <w:kern w:val="0"/>
          <w:sz w:val="18"/>
          <w:szCs w:val="18"/>
        </w:rPr>
        <w:t>分。</w:t>
      </w:r>
    </w:p>
    <w:p>
      <w:pPr>
        <w:rPr>
          <w:rFonts w:ascii="宋体" w:hAnsi="宋体" w:eastAsia="宋体" w:cs="宋体"/>
          <w:kern w:val="0"/>
          <w:sz w:val="18"/>
          <w:szCs w:val="18"/>
        </w:rPr>
      </w:pPr>
      <w:r>
        <w:rPr>
          <w:rFonts w:hint="eastAsia" w:ascii="宋体" w:hAnsi="宋体" w:eastAsia="宋体" w:cs="宋体"/>
          <w:kern w:val="0"/>
          <w:sz w:val="18"/>
          <w:szCs w:val="18"/>
        </w:rPr>
        <w:br w:type="page"/>
      </w:r>
    </w:p>
    <w:p>
      <w:pPr>
        <w:widowControl/>
        <w:jc w:val="left"/>
        <w:rPr>
          <w:rFonts w:ascii="黑体" w:hAnsi="黑体" w:eastAsia="黑体" w:cs="黑体"/>
          <w:szCs w:val="32"/>
        </w:rPr>
      </w:pPr>
      <w:r>
        <w:rPr>
          <w:rFonts w:hint="eastAsia" w:ascii="黑体" w:hAnsi="黑体" w:eastAsia="黑体" w:cs="黑体"/>
          <w:szCs w:val="32"/>
        </w:rPr>
        <w:t>附件4</w:t>
      </w:r>
    </w:p>
    <w:tbl>
      <w:tblPr>
        <w:tblStyle w:val="12"/>
        <w:tblW w:w="8900" w:type="dxa"/>
        <w:jc w:val="center"/>
        <w:tblLayout w:type="fixed"/>
        <w:tblCellMar>
          <w:top w:w="0" w:type="dxa"/>
          <w:left w:w="108" w:type="dxa"/>
          <w:bottom w:w="0" w:type="dxa"/>
          <w:right w:w="108" w:type="dxa"/>
        </w:tblCellMar>
      </w:tblPr>
      <w:tblGrid>
        <w:gridCol w:w="575"/>
        <w:gridCol w:w="961"/>
        <w:gridCol w:w="1089"/>
        <w:gridCol w:w="715"/>
        <w:gridCol w:w="1111"/>
        <w:gridCol w:w="278"/>
        <w:gridCol w:w="834"/>
        <w:gridCol w:w="1053"/>
        <w:gridCol w:w="58"/>
        <w:gridCol w:w="351"/>
        <w:gridCol w:w="342"/>
        <w:gridCol w:w="139"/>
        <w:gridCol w:w="694"/>
        <w:gridCol w:w="700"/>
      </w:tblGrid>
      <w:tr>
        <w:trPr>
          <w:trHeight w:val="267" w:hRule="exact"/>
          <w:jc w:val="center"/>
        </w:trPr>
        <w:tc>
          <w:tcPr>
            <w:tcW w:w="8900" w:type="dxa"/>
            <w:gridSpan w:val="14"/>
            <w:tcBorders>
              <w:top w:val="nil"/>
              <w:left w:val="nil"/>
              <w:bottom w:val="nil"/>
              <w:right w:val="nil"/>
            </w:tcBorders>
            <w:noWrap/>
            <w:vAlign w:val="center"/>
          </w:tcPr>
          <w:p>
            <w:pPr>
              <w:widowControl/>
              <w:spacing w:line="320" w:lineRule="exact"/>
              <w:jc w:val="center"/>
              <w:rPr>
                <w:rFonts w:ascii="宋体" w:hAnsi="宋体" w:eastAsia="宋体" w:cs="宋体"/>
                <w:b/>
                <w:bCs/>
                <w:kern w:val="0"/>
                <w:szCs w:val="30"/>
              </w:rPr>
            </w:pPr>
            <w:r>
              <w:rPr>
                <w:rFonts w:hint="eastAsia" w:eastAsia="方正小标宋简体"/>
                <w:bCs/>
                <w:color w:val="000000"/>
                <w:kern w:val="0"/>
                <w:sz w:val="30"/>
                <w:szCs w:val="30"/>
              </w:rPr>
              <w:t>市级项目支出绩效自评表</w:t>
            </w:r>
          </w:p>
        </w:tc>
      </w:tr>
      <w:tr>
        <w:trPr>
          <w:trHeight w:val="90" w:hRule="atLeast"/>
          <w:jc w:val="center"/>
        </w:trPr>
        <w:tc>
          <w:tcPr>
            <w:tcW w:w="8900" w:type="dxa"/>
            <w:gridSpan w:val="14"/>
            <w:tcBorders>
              <w:top w:val="nil"/>
              <w:left w:val="nil"/>
              <w:bottom w:val="nil"/>
              <w:right w:val="nil"/>
            </w:tcBorders>
            <w:noWrap/>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202</w:t>
            </w:r>
            <w:r>
              <w:rPr>
                <w:rFonts w:hint="eastAsia" w:ascii="宋体" w:hAnsi="宋体" w:eastAsia="宋体" w:cs="宋体"/>
                <w:kern w:val="0"/>
                <w:sz w:val="22"/>
              </w:rPr>
              <w:t>1年度）</w:t>
            </w:r>
          </w:p>
        </w:tc>
      </w:tr>
      <w:tr>
        <w:trPr>
          <w:trHeight w:val="2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64"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新冠疫苗接种医疗保障</w:t>
            </w:r>
          </w:p>
        </w:tc>
      </w:tr>
      <w:tr>
        <w:trPr>
          <w:trHeight w:val="267" w:hRule="exact"/>
          <w:jc w:val="center"/>
        </w:trPr>
        <w:tc>
          <w:tcPr>
            <w:tcW w:w="153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27"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市卫健委</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26"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自贡市第三人民医院</w:t>
            </w:r>
          </w:p>
        </w:tc>
      </w:tr>
      <w:tr>
        <w:trPr>
          <w:trHeight w:val="267"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全年执行2424数</w:t>
            </w: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11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693"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700"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rPr>
          <w:trHeight w:val="267" w:hRule="exact"/>
          <w:jc w:val="center"/>
        </w:trPr>
        <w:tc>
          <w:tcPr>
            <w:tcW w:w="575"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88"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3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rPr>
          <w:trHeight w:val="297" w:hRule="exact"/>
          <w:jc w:val="center"/>
        </w:trPr>
        <w:tc>
          <w:tcPr>
            <w:tcW w:w="575"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988"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3337"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447" w:hRule="exact"/>
          <w:jc w:val="center"/>
        </w:trPr>
        <w:tc>
          <w:tcPr>
            <w:tcW w:w="575"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8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rPr>
          <w:trHeight w:val="574"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完成指标（分值共5</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04" w:type="dxa"/>
            <w:gridSpan w:val="3"/>
            <w:tcBorders>
              <w:top w:val="single" w:color="auto" w:sz="4" w:space="0"/>
              <w:left w:val="nil"/>
              <w:bottom w:val="single" w:color="auto" w:sz="4" w:space="0"/>
              <w:right w:val="single" w:color="auto" w:sz="4" w:space="0"/>
            </w:tcBorders>
            <w:noWrap/>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指标1：参加</w:t>
            </w:r>
            <w:r>
              <w:rPr>
                <w:rFonts w:hint="eastAsia" w:ascii="宋体" w:hAnsi="宋体" w:eastAsia="宋体" w:cs="宋体"/>
                <w:kern w:val="0"/>
                <w:sz w:val="18"/>
                <w:szCs w:val="18"/>
              </w:rPr>
              <w:t>新冠疫苗接种医疗保障</w:t>
            </w:r>
            <w:r>
              <w:rPr>
                <w:rFonts w:hint="eastAsia" w:ascii="宋体" w:hAnsi="宋体" w:eastAsia="宋体" w:cs="宋体"/>
                <w:color w:val="000000"/>
                <w:kern w:val="0"/>
                <w:sz w:val="18"/>
                <w:szCs w:val="18"/>
              </w:rPr>
              <w:t>人次</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2342人次</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573"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04" w:type="dxa"/>
            <w:gridSpan w:val="3"/>
            <w:tcBorders>
              <w:top w:val="single" w:color="auto" w:sz="4" w:space="0"/>
              <w:left w:val="nil"/>
              <w:bottom w:val="single" w:color="auto" w:sz="4" w:space="0"/>
              <w:right w:val="single" w:color="auto" w:sz="4" w:space="0"/>
            </w:tcBorders>
            <w:noWrap/>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指标1：确保新冠疫苗接种安全</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确保安全</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52"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效益指标（分值共3</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505"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04" w:type="dxa"/>
            <w:gridSpan w:val="3"/>
            <w:tcBorders>
              <w:top w:val="single" w:color="auto" w:sz="4" w:space="0"/>
              <w:left w:val="nil"/>
              <w:bottom w:val="single" w:color="auto" w:sz="4" w:space="0"/>
              <w:right w:val="single" w:color="auto" w:sz="4" w:space="0"/>
            </w:tcBorders>
            <w:noWrap/>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指标1：提高人群接种覆盖率</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得到提高</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523"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restart"/>
            <w:tcBorders>
              <w:top w:val="nil"/>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指标（分值共1</w:t>
            </w:r>
            <w:r>
              <w:rPr>
                <w:rFonts w:ascii="宋体" w:hAnsi="宋体" w:eastAsia="宋体" w:cs="宋体"/>
                <w:kern w:val="0"/>
                <w:sz w:val="18"/>
                <w:szCs w:val="18"/>
              </w:rPr>
              <w:t>0</w:t>
            </w:r>
            <w:r>
              <w:rPr>
                <w:rFonts w:hint="eastAsia" w:ascii="宋体" w:hAnsi="宋体" w:eastAsia="宋体" w:cs="宋体"/>
                <w:kern w:val="0"/>
                <w:sz w:val="18"/>
                <w:szCs w:val="18"/>
              </w:rPr>
              <w:t>分）</w:t>
            </w:r>
          </w:p>
        </w:tc>
        <w:tc>
          <w:tcPr>
            <w:tcW w:w="108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指标1：提高社会满意度</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2021</w:t>
            </w: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得到提高</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267" w:hRule="exact"/>
          <w:jc w:val="center"/>
        </w:trPr>
        <w:tc>
          <w:tcPr>
            <w:tcW w:w="575"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313" w:hRule="exact"/>
          <w:jc w:val="center"/>
        </w:trPr>
        <w:tc>
          <w:tcPr>
            <w:tcW w:w="575"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961"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8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2104"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34"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053"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r>
        <w:trPr>
          <w:trHeight w:val="312" w:hRule="exact"/>
          <w:jc w:val="center"/>
        </w:trPr>
        <w:tc>
          <w:tcPr>
            <w:tcW w:w="6616"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4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8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color w:val="000000"/>
                <w:kern w:val="0"/>
                <w:sz w:val="18"/>
                <w:szCs w:val="18"/>
              </w:rPr>
            </w:pPr>
          </w:p>
        </w:tc>
        <w:tc>
          <w:tcPr>
            <w:tcW w:w="1394"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p>
        </w:tc>
      </w:tr>
    </w:tbl>
    <w:p>
      <w:pPr>
        <w:widowControl/>
        <w:spacing w:line="240" w:lineRule="exact"/>
        <w:rPr>
          <w:rFonts w:ascii="黑体" w:hAnsi="黑体" w:eastAsia="黑体" w:cs="黑体"/>
          <w:szCs w:val="32"/>
        </w:rPr>
      </w:pPr>
      <w:r>
        <w:rPr>
          <w:rFonts w:hint="eastAsia" w:ascii="宋体" w:hAnsi="宋体" w:eastAsia="宋体" w:cs="宋体"/>
          <w:kern w:val="0"/>
          <w:sz w:val="18"/>
          <w:szCs w:val="18"/>
        </w:rPr>
        <w:t>备注：预算执行分值为1</w:t>
      </w:r>
      <w:r>
        <w:rPr>
          <w:rFonts w:ascii="宋体" w:hAnsi="宋体" w:eastAsia="宋体" w:cs="宋体"/>
          <w:kern w:val="0"/>
          <w:sz w:val="18"/>
          <w:szCs w:val="18"/>
        </w:rPr>
        <w:t>0</w:t>
      </w:r>
      <w:r>
        <w:rPr>
          <w:rFonts w:hint="eastAsia" w:ascii="宋体" w:hAnsi="宋体" w:eastAsia="宋体" w:cs="宋体"/>
          <w:kern w:val="0"/>
          <w:sz w:val="18"/>
          <w:szCs w:val="18"/>
        </w:rPr>
        <w:t>分、产出指标分值为5</w:t>
      </w:r>
      <w:r>
        <w:rPr>
          <w:rFonts w:ascii="宋体" w:hAnsi="宋体" w:eastAsia="宋体" w:cs="宋体"/>
          <w:kern w:val="0"/>
          <w:sz w:val="18"/>
          <w:szCs w:val="18"/>
        </w:rPr>
        <w:t>0</w:t>
      </w:r>
      <w:r>
        <w:rPr>
          <w:rFonts w:hint="eastAsia" w:ascii="宋体" w:hAnsi="宋体" w:eastAsia="宋体" w:cs="宋体"/>
          <w:kern w:val="0"/>
          <w:sz w:val="18"/>
          <w:szCs w:val="18"/>
        </w:rPr>
        <w:t>分、效益指标分值为3</w:t>
      </w:r>
      <w:r>
        <w:rPr>
          <w:rFonts w:ascii="宋体" w:hAnsi="宋体" w:eastAsia="宋体" w:cs="宋体"/>
          <w:kern w:val="0"/>
          <w:sz w:val="18"/>
          <w:szCs w:val="18"/>
        </w:rPr>
        <w:t>0</w:t>
      </w:r>
      <w:r>
        <w:rPr>
          <w:rFonts w:hint="eastAsia" w:ascii="宋体" w:hAnsi="宋体" w:eastAsia="宋体" w:cs="宋体"/>
          <w:kern w:val="0"/>
          <w:sz w:val="18"/>
          <w:szCs w:val="18"/>
        </w:rPr>
        <w:t>分、满意度指标分值为1</w:t>
      </w:r>
      <w:r>
        <w:rPr>
          <w:rFonts w:ascii="宋体" w:hAnsi="宋体" w:eastAsia="宋体" w:cs="宋体"/>
          <w:kern w:val="0"/>
          <w:sz w:val="18"/>
          <w:szCs w:val="18"/>
        </w:rPr>
        <w:t>0</w:t>
      </w:r>
      <w:r>
        <w:rPr>
          <w:rFonts w:hint="eastAsia" w:ascii="宋体" w:hAnsi="宋体" w:eastAsia="宋体" w:cs="宋体"/>
          <w:kern w:val="0"/>
          <w:sz w:val="18"/>
          <w:szCs w:val="18"/>
        </w:rPr>
        <w:t>分。</w:t>
      </w:r>
    </w:p>
    <w:p>
      <w:pPr>
        <w:pStyle w:val="2"/>
        <w:spacing w:before="93"/>
      </w:pPr>
    </w:p>
    <w:p>
      <w:pPr>
        <w:jc w:val="center"/>
        <w:rPr>
          <w:rFonts w:ascii="黑体" w:hAnsi="黑体" w:eastAsia="黑体"/>
          <w:color w:val="000000"/>
          <w:sz w:val="44"/>
          <w:szCs w:val="44"/>
        </w:rPr>
      </w:pPr>
      <w:bookmarkStart w:id="53" w:name="_Toc18418"/>
      <w:bookmarkStart w:id="54" w:name="_Toc15396618"/>
    </w:p>
    <w:p>
      <w:pPr>
        <w:ind w:right="640" w:rightChars="200"/>
        <w:jc w:val="center"/>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五部分附表</w:t>
      </w:r>
      <w:bookmarkEnd w:id="52"/>
      <w:bookmarkEnd w:id="53"/>
      <w:bookmarkEnd w:id="54"/>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5" w:name="_Toc15396619"/>
      <w:bookmarkStart w:id="56" w:name="_Toc14600"/>
      <w:r>
        <w:rPr>
          <w:rFonts w:hint="eastAsia" w:ascii="仿宋" w:hAnsi="仿宋" w:eastAsia="仿宋"/>
          <w:b w:val="0"/>
          <w:color w:val="000000"/>
        </w:rPr>
        <w:t>一、收</w:t>
      </w:r>
      <w:r>
        <w:rPr>
          <w:rStyle w:val="17"/>
          <w:rFonts w:hint="eastAsia" w:ascii="仿宋" w:hAnsi="仿宋" w:eastAsia="仿宋"/>
          <w:b w:val="0"/>
          <w:bCs w:val="0"/>
        </w:rPr>
        <w:t>入支出决算总表</w:t>
      </w:r>
      <w:bookmarkEnd w:id="55"/>
      <w:bookmarkEnd w:id="56"/>
    </w:p>
    <w:p>
      <w:pPr>
        <w:pStyle w:val="4"/>
        <w:rPr>
          <w:rFonts w:ascii="仿宋" w:hAnsi="仿宋" w:eastAsia="仿宋"/>
          <w:color w:val="000000"/>
        </w:rPr>
      </w:pPr>
      <w:bookmarkStart w:id="57" w:name="_Toc15396620"/>
      <w:bookmarkStart w:id="58" w:name="_Toc15925"/>
      <w:r>
        <w:rPr>
          <w:rFonts w:hint="eastAsia" w:ascii="仿宋" w:hAnsi="仿宋" w:eastAsia="仿宋"/>
          <w:b w:val="0"/>
          <w:color w:val="000000"/>
        </w:rPr>
        <w:t>二、收</w:t>
      </w:r>
      <w:r>
        <w:rPr>
          <w:rStyle w:val="17"/>
          <w:rFonts w:hint="eastAsia" w:ascii="仿宋" w:hAnsi="仿宋" w:eastAsia="仿宋"/>
          <w:b w:val="0"/>
          <w:bCs w:val="0"/>
        </w:rPr>
        <w:t>入决算表</w:t>
      </w:r>
      <w:bookmarkEnd w:id="57"/>
      <w:bookmarkEnd w:id="58"/>
    </w:p>
    <w:p>
      <w:pPr>
        <w:pStyle w:val="4"/>
        <w:rPr>
          <w:rFonts w:ascii="仿宋" w:hAnsi="仿宋" w:eastAsia="仿宋"/>
          <w:color w:val="000000"/>
        </w:rPr>
      </w:pPr>
      <w:bookmarkStart w:id="59" w:name="_Toc7187"/>
      <w:bookmarkStart w:id="60"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59"/>
      <w:bookmarkEnd w:id="60"/>
    </w:p>
    <w:p>
      <w:pPr>
        <w:pStyle w:val="4"/>
        <w:rPr>
          <w:rFonts w:ascii="仿宋" w:hAnsi="仿宋" w:eastAsia="仿宋"/>
          <w:b w:val="0"/>
          <w:color w:val="000000"/>
        </w:rPr>
      </w:pPr>
      <w:bookmarkStart w:id="61" w:name="_Toc5686"/>
      <w:bookmarkStart w:id="62"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1"/>
      <w:bookmarkEnd w:id="62"/>
    </w:p>
    <w:p>
      <w:pPr>
        <w:pStyle w:val="4"/>
        <w:rPr>
          <w:rStyle w:val="17"/>
          <w:rFonts w:ascii="仿宋" w:hAnsi="仿宋" w:eastAsia="仿宋"/>
          <w:b w:val="0"/>
          <w:bCs w:val="0"/>
        </w:rPr>
      </w:pPr>
      <w:bookmarkStart w:id="63" w:name="_Toc15396623"/>
      <w:bookmarkStart w:id="64" w:name="_Toc634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63"/>
      <w:bookmarkEnd w:id="64"/>
      <w:bookmarkStart w:id="65" w:name="_Toc15396624"/>
    </w:p>
    <w:p>
      <w:pPr>
        <w:pStyle w:val="4"/>
        <w:rPr>
          <w:rFonts w:ascii="仿宋" w:hAnsi="仿宋" w:eastAsia="仿宋"/>
          <w:color w:val="000000"/>
        </w:rPr>
      </w:pPr>
      <w:bookmarkStart w:id="66" w:name="_Toc31131"/>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5"/>
      <w:bookmarkEnd w:id="66"/>
    </w:p>
    <w:p>
      <w:pPr>
        <w:pStyle w:val="4"/>
        <w:rPr>
          <w:rFonts w:ascii="仿宋" w:hAnsi="仿宋" w:eastAsia="仿宋"/>
          <w:color w:val="000000"/>
        </w:rPr>
      </w:pPr>
      <w:bookmarkStart w:id="67" w:name="_Toc15396625"/>
      <w:bookmarkStart w:id="68" w:name="_Toc11064"/>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7"/>
      <w:bookmarkEnd w:id="68"/>
    </w:p>
    <w:p>
      <w:pPr>
        <w:pStyle w:val="4"/>
        <w:rPr>
          <w:rFonts w:ascii="仿宋" w:hAnsi="仿宋" w:eastAsia="仿宋"/>
          <w:color w:val="000000"/>
        </w:rPr>
      </w:pPr>
      <w:bookmarkStart w:id="69" w:name="_Toc15396626"/>
      <w:bookmarkStart w:id="70" w:name="_Toc12549"/>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9"/>
      <w:bookmarkEnd w:id="70"/>
    </w:p>
    <w:p>
      <w:pPr>
        <w:pStyle w:val="4"/>
        <w:rPr>
          <w:rFonts w:ascii="仿宋" w:hAnsi="仿宋" w:eastAsia="仿宋"/>
          <w:color w:val="000000"/>
        </w:rPr>
      </w:pPr>
      <w:bookmarkStart w:id="71" w:name="_Toc15396627"/>
      <w:bookmarkStart w:id="72" w:name="_Toc19168"/>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1"/>
      <w:bookmarkEnd w:id="72"/>
    </w:p>
    <w:p>
      <w:pPr>
        <w:pStyle w:val="4"/>
        <w:spacing w:line="360" w:lineRule="auto"/>
        <w:rPr>
          <w:rFonts w:ascii="仿宋" w:hAnsi="仿宋" w:eastAsia="仿宋"/>
          <w:color w:val="000000"/>
        </w:rPr>
      </w:pPr>
      <w:bookmarkStart w:id="73" w:name="_Toc15396628"/>
      <w:bookmarkStart w:id="74" w:name="_Toc18941"/>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3"/>
      <w:bookmarkEnd w:id="74"/>
    </w:p>
    <w:p>
      <w:pPr>
        <w:pStyle w:val="4"/>
        <w:spacing w:line="360" w:lineRule="auto"/>
        <w:rPr>
          <w:rFonts w:ascii="仿宋" w:hAnsi="仿宋" w:eastAsia="仿宋"/>
          <w:color w:val="000000"/>
        </w:rPr>
      </w:pPr>
      <w:bookmarkStart w:id="75" w:name="_Toc15396629"/>
      <w:bookmarkStart w:id="76" w:name="_Toc15180"/>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5"/>
      <w:bookmarkEnd w:id="76"/>
    </w:p>
    <w:p>
      <w:pPr>
        <w:pStyle w:val="4"/>
        <w:rPr>
          <w:rFonts w:ascii="仿宋" w:hAnsi="仿宋" w:eastAsia="仿宋"/>
          <w:b w:val="0"/>
          <w:color w:val="000000"/>
        </w:rPr>
      </w:pPr>
      <w:bookmarkStart w:id="77" w:name="_Toc23897"/>
      <w:bookmarkStart w:id="78" w:name="_Toc15396630"/>
      <w:r>
        <w:rPr>
          <w:rFonts w:hint="eastAsia" w:ascii="仿宋" w:hAnsi="仿宋" w:eastAsia="仿宋"/>
          <w:b w:val="0"/>
          <w:color w:val="000000"/>
        </w:rPr>
        <w:t>十二、政府性基金预算财政拨款“三公”经费支出决算表</w:t>
      </w:r>
      <w:bookmarkEnd w:id="77"/>
      <w:bookmarkEnd w:id="78"/>
    </w:p>
    <w:p>
      <w:pPr>
        <w:pStyle w:val="4"/>
        <w:rPr>
          <w:rFonts w:ascii="仿宋" w:hAnsi="仿宋" w:eastAsia="仿宋"/>
          <w:b w:val="0"/>
          <w:color w:val="000000"/>
        </w:rPr>
      </w:pPr>
      <w:bookmarkStart w:id="79" w:name="_Toc3960"/>
      <w:r>
        <w:rPr>
          <w:rFonts w:hint="eastAsia" w:ascii="仿宋" w:hAnsi="仿宋" w:eastAsia="仿宋"/>
          <w:b w:val="0"/>
          <w:color w:val="000000"/>
        </w:rPr>
        <w:t>十三、国有资本经营预算财政拨款收入支出决算表</w:t>
      </w:r>
      <w:bookmarkEnd w:id="79"/>
    </w:p>
    <w:p>
      <w:pPr>
        <w:pStyle w:val="4"/>
      </w:pPr>
      <w:bookmarkStart w:id="80" w:name="_Toc441"/>
      <w:r>
        <w:rPr>
          <w:rFonts w:hint="eastAsia" w:ascii="仿宋" w:hAnsi="仿宋" w:eastAsia="仿宋"/>
          <w:b w:val="0"/>
          <w:color w:val="000000"/>
        </w:rPr>
        <w:t>十四、国有资本经营预算财政拨款支出决算表</w:t>
      </w:r>
      <w:bookmarkEnd w:id="80"/>
    </w:p>
    <w:sectPr>
      <w:pgSz w:w="11906" w:h="16838"/>
      <w:pgMar w:top="480" w:right="1146" w:bottom="358" w:left="14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ascii="黑体" w:hAnsi="黑体" w:eastAsia="黑体" w:cs="黑体"/>
        <w:sz w:val="36"/>
        <w:szCs w:val="36"/>
      </w:rPr>
    </w:pPr>
  </w:p>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BmOGJlNmU0M2UyZjliNWY4ODA0N2QxMzYzOTQ0NGMifQ=="/>
  </w:docVars>
  <w:rsids>
    <w:rsidRoot w:val="6504078C"/>
    <w:rsid w:val="00026044"/>
    <w:rsid w:val="00606197"/>
    <w:rsid w:val="008E7273"/>
    <w:rsid w:val="00C3785F"/>
    <w:rsid w:val="00EC413B"/>
    <w:rsid w:val="00F17409"/>
    <w:rsid w:val="00FC6225"/>
    <w:rsid w:val="01722330"/>
    <w:rsid w:val="032337B9"/>
    <w:rsid w:val="038D51FF"/>
    <w:rsid w:val="040658C1"/>
    <w:rsid w:val="04EE4B36"/>
    <w:rsid w:val="056C5A14"/>
    <w:rsid w:val="06770B33"/>
    <w:rsid w:val="06D96529"/>
    <w:rsid w:val="06F11575"/>
    <w:rsid w:val="06FA306F"/>
    <w:rsid w:val="081D76D8"/>
    <w:rsid w:val="0A621193"/>
    <w:rsid w:val="0AB9552D"/>
    <w:rsid w:val="0BEF455D"/>
    <w:rsid w:val="0D216095"/>
    <w:rsid w:val="0D8458C4"/>
    <w:rsid w:val="0F400B89"/>
    <w:rsid w:val="108C1116"/>
    <w:rsid w:val="11C26472"/>
    <w:rsid w:val="14171240"/>
    <w:rsid w:val="14DA4F6D"/>
    <w:rsid w:val="15CF16A7"/>
    <w:rsid w:val="165027E8"/>
    <w:rsid w:val="16A54057"/>
    <w:rsid w:val="180715CC"/>
    <w:rsid w:val="187F0BB1"/>
    <w:rsid w:val="18B23F38"/>
    <w:rsid w:val="1B574618"/>
    <w:rsid w:val="1DCC7CFB"/>
    <w:rsid w:val="1E005F4D"/>
    <w:rsid w:val="1E4A2212"/>
    <w:rsid w:val="1E561815"/>
    <w:rsid w:val="1E5C23A9"/>
    <w:rsid w:val="210348D1"/>
    <w:rsid w:val="211244E7"/>
    <w:rsid w:val="22182622"/>
    <w:rsid w:val="22AD1BFA"/>
    <w:rsid w:val="22F76423"/>
    <w:rsid w:val="234E6301"/>
    <w:rsid w:val="23B23D14"/>
    <w:rsid w:val="24C04FDC"/>
    <w:rsid w:val="250273A3"/>
    <w:rsid w:val="254950BA"/>
    <w:rsid w:val="27337CE7"/>
    <w:rsid w:val="27A23C83"/>
    <w:rsid w:val="282F4953"/>
    <w:rsid w:val="2895052E"/>
    <w:rsid w:val="28F375A4"/>
    <w:rsid w:val="29A22F90"/>
    <w:rsid w:val="2A0531E2"/>
    <w:rsid w:val="2A396D46"/>
    <w:rsid w:val="2A740524"/>
    <w:rsid w:val="2A775EC8"/>
    <w:rsid w:val="2B9E6793"/>
    <w:rsid w:val="2BA07916"/>
    <w:rsid w:val="2C3E6D23"/>
    <w:rsid w:val="2C7870E6"/>
    <w:rsid w:val="2CEF0470"/>
    <w:rsid w:val="2D26209C"/>
    <w:rsid w:val="2D4F33A1"/>
    <w:rsid w:val="2D7B58D3"/>
    <w:rsid w:val="31181FC3"/>
    <w:rsid w:val="32F3657D"/>
    <w:rsid w:val="33411294"/>
    <w:rsid w:val="33C63C91"/>
    <w:rsid w:val="344971EE"/>
    <w:rsid w:val="34A55F9D"/>
    <w:rsid w:val="35F349E5"/>
    <w:rsid w:val="37735D5C"/>
    <w:rsid w:val="38612D8E"/>
    <w:rsid w:val="39644B48"/>
    <w:rsid w:val="396D3A3D"/>
    <w:rsid w:val="39DD6D9A"/>
    <w:rsid w:val="3B1C3C75"/>
    <w:rsid w:val="3C452F22"/>
    <w:rsid w:val="3D7B630D"/>
    <w:rsid w:val="3D960B78"/>
    <w:rsid w:val="3DFF2FE2"/>
    <w:rsid w:val="3E371A14"/>
    <w:rsid w:val="3E4169FF"/>
    <w:rsid w:val="3F9A05DB"/>
    <w:rsid w:val="400242A3"/>
    <w:rsid w:val="42415ACC"/>
    <w:rsid w:val="43060BFC"/>
    <w:rsid w:val="435B43F6"/>
    <w:rsid w:val="44050B6A"/>
    <w:rsid w:val="441A0151"/>
    <w:rsid w:val="449E5507"/>
    <w:rsid w:val="45325EC3"/>
    <w:rsid w:val="45C5024D"/>
    <w:rsid w:val="469A6EA3"/>
    <w:rsid w:val="47256037"/>
    <w:rsid w:val="47BD0CAB"/>
    <w:rsid w:val="47D2295E"/>
    <w:rsid w:val="495C4A24"/>
    <w:rsid w:val="49F511D8"/>
    <w:rsid w:val="4B021C51"/>
    <w:rsid w:val="4B7E2D1E"/>
    <w:rsid w:val="4CE80BE3"/>
    <w:rsid w:val="4D706C74"/>
    <w:rsid w:val="4F20753F"/>
    <w:rsid w:val="4F63057D"/>
    <w:rsid w:val="50BF5146"/>
    <w:rsid w:val="514209A3"/>
    <w:rsid w:val="525F5585"/>
    <w:rsid w:val="540A2047"/>
    <w:rsid w:val="549E4143"/>
    <w:rsid w:val="54D20290"/>
    <w:rsid w:val="552E662F"/>
    <w:rsid w:val="56774470"/>
    <w:rsid w:val="56AF4232"/>
    <w:rsid w:val="57AE0D20"/>
    <w:rsid w:val="58B70815"/>
    <w:rsid w:val="59611C72"/>
    <w:rsid w:val="5B1024E3"/>
    <w:rsid w:val="5C176C0D"/>
    <w:rsid w:val="5D3D1201"/>
    <w:rsid w:val="5D3E75DF"/>
    <w:rsid w:val="5E345B18"/>
    <w:rsid w:val="601C38A3"/>
    <w:rsid w:val="60FA0275"/>
    <w:rsid w:val="613025C6"/>
    <w:rsid w:val="61E17D65"/>
    <w:rsid w:val="64542A70"/>
    <w:rsid w:val="6504078C"/>
    <w:rsid w:val="653E060C"/>
    <w:rsid w:val="67004FF8"/>
    <w:rsid w:val="67963F22"/>
    <w:rsid w:val="687071E3"/>
    <w:rsid w:val="693A74BA"/>
    <w:rsid w:val="6A3368E3"/>
    <w:rsid w:val="6D397CBC"/>
    <w:rsid w:val="6D9D5490"/>
    <w:rsid w:val="6E2434B3"/>
    <w:rsid w:val="703B23DF"/>
    <w:rsid w:val="70BC17C6"/>
    <w:rsid w:val="710335E0"/>
    <w:rsid w:val="71632544"/>
    <w:rsid w:val="718A79E7"/>
    <w:rsid w:val="726E3979"/>
    <w:rsid w:val="743B2C39"/>
    <w:rsid w:val="747D15AF"/>
    <w:rsid w:val="747D4DEF"/>
    <w:rsid w:val="74BB2697"/>
    <w:rsid w:val="76607052"/>
    <w:rsid w:val="77A41740"/>
    <w:rsid w:val="788E4A9C"/>
    <w:rsid w:val="7AD07ACD"/>
    <w:rsid w:val="7B2528B4"/>
    <w:rsid w:val="7F002830"/>
    <w:rsid w:val="B7DF065C"/>
    <w:rsid w:val="FEF746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Cambria" w:hAnsi="Cambria"/>
      <w:b/>
      <w:bCs/>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kern w:val="0"/>
      <w:sz w:val="24"/>
      <w:szCs w:val="20"/>
    </w:rPr>
  </w:style>
  <w:style w:type="paragraph" w:styleId="5">
    <w:name w:val="index 5"/>
    <w:basedOn w:val="1"/>
    <w:next w:val="1"/>
    <w:qFormat/>
    <w:uiPriority w:val="0"/>
    <w:pPr>
      <w:ind w:left="1680"/>
    </w:pPr>
  </w:style>
  <w:style w:type="paragraph" w:styleId="6">
    <w:name w:val="Body Text Indent"/>
    <w:basedOn w:val="1"/>
    <w:qFormat/>
    <w:uiPriority w:val="0"/>
    <w:pPr>
      <w:spacing w:line="560" w:lineRule="exact"/>
      <w:ind w:firstLine="640" w:firstLineChars="200"/>
    </w:pPr>
  </w:style>
  <w:style w:type="paragraph" w:styleId="7">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unhideWhenUsed/>
    <w:qFormat/>
    <w:uiPriority w:val="39"/>
    <w:pPr>
      <w:spacing w:before="120"/>
      <w:jc w:val="left"/>
    </w:pPr>
    <w:rPr>
      <w:rFonts w:ascii="等线" w:eastAsia="等线"/>
      <w:b/>
      <w:bCs/>
      <w:i/>
      <w:iCs/>
      <w:sz w:val="24"/>
    </w:rPr>
  </w:style>
  <w:style w:type="paragraph" w:styleId="10">
    <w:name w:val="toc 2"/>
    <w:basedOn w:val="1"/>
    <w:next w:val="1"/>
    <w:unhideWhenUsed/>
    <w:qFormat/>
    <w:uiPriority w:val="39"/>
    <w:pPr>
      <w:spacing w:before="120"/>
      <w:ind w:left="300"/>
      <w:jc w:val="left"/>
    </w:pPr>
    <w:rPr>
      <w:rFonts w:ascii="等线" w:eastAsia="等线"/>
      <w:b/>
      <w:bCs/>
      <w:sz w:val="22"/>
      <w:szCs w:val="22"/>
    </w:rPr>
  </w:style>
  <w:style w:type="paragraph" w:styleId="11">
    <w:name w:val="Body Text First Indent 2"/>
    <w:basedOn w:val="6"/>
    <w:next w:val="5"/>
    <w:qFormat/>
    <w:uiPriority w:val="0"/>
    <w:pPr>
      <w:spacing w:after="120" w:line="240" w:lineRule="auto"/>
      <w:ind w:left="420" w:leftChars="200" w:firstLine="420"/>
    </w:pPr>
  </w:style>
  <w:style w:type="character" w:styleId="14">
    <w:name w:val="Strong"/>
    <w:basedOn w:val="13"/>
    <w:qFormat/>
    <w:uiPriority w:val="99"/>
    <w:rPr>
      <w:rFonts w:cs="Times New Roman"/>
      <w:b/>
    </w:rPr>
  </w:style>
  <w:style w:type="character" w:styleId="15">
    <w:name w:val="Hyperlink"/>
    <w:unhideWhenUsed/>
    <w:qFormat/>
    <w:uiPriority w:val="99"/>
    <w:rPr>
      <w:color w:val="0000FF"/>
      <w:u w:val="single"/>
    </w:rPr>
  </w:style>
  <w:style w:type="character" w:customStyle="1" w:styleId="16">
    <w:name w:val="标题 1 Char"/>
    <w:basedOn w:val="13"/>
    <w:link w:val="3"/>
    <w:qFormat/>
    <w:locked/>
    <w:uiPriority w:val="9"/>
    <w:rPr>
      <w:b/>
      <w:bCs/>
      <w:kern w:val="44"/>
      <w:sz w:val="44"/>
      <w:szCs w:val="44"/>
    </w:rPr>
  </w:style>
  <w:style w:type="character" w:customStyle="1" w:styleId="17">
    <w:name w:val="Char Char5"/>
    <w:basedOn w:val="13"/>
    <w:qFormat/>
    <w:locked/>
    <w:uiPriority w:val="9"/>
    <w:rPr>
      <w:rFonts w:ascii="Cambria" w:hAnsi="Cambria"/>
      <w:b/>
      <w:bCs/>
      <w:sz w:val="32"/>
      <w:szCs w:val="32"/>
    </w:rPr>
  </w:style>
  <w:style w:type="paragraph" w:customStyle="1" w:styleId="18">
    <w:name w:val="列表段落1"/>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标题 2 Char"/>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istrator\&#26700;&#38754;\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0.0125"/>
                  <c:y val="-0.2916666666666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33333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[2021决算公开图表.xls]Sheet1!$A$1:$A$2</c:f>
              <c:strCache>
                <c:ptCount val="2"/>
                <c:pt idx="0">
                  <c:v>2020年</c:v>
                </c:pt>
                <c:pt idx="1">
                  <c:v>2021年</c:v>
                </c:pt>
              </c:strCache>
            </c:strRef>
          </c:cat>
          <c:val>
            <c:numRef>
              <c:f>[2021决算公开图表.xls]Sheet1!$B$1:$B$2</c:f>
              <c:numCache>
                <c:formatCode>General</c:formatCode>
                <c:ptCount val="2"/>
                <c:pt idx="0">
                  <c:v>53426.83</c:v>
                </c:pt>
                <c:pt idx="1">
                  <c:v>65174.76</c:v>
                </c:pt>
              </c:numCache>
            </c:numRef>
          </c:val>
        </c:ser>
        <c:dLbls>
          <c:showLegendKey val="0"/>
          <c:showVal val="0"/>
          <c:showCatName val="0"/>
          <c:showSerName val="0"/>
          <c:showPercent val="0"/>
          <c:showBubbleSize val="0"/>
        </c:dLbls>
        <c:gapWidth val="150"/>
        <c:overlap val="100"/>
        <c:axId val="232367232"/>
        <c:axId val="232368768"/>
      </c:barChart>
      <c:catAx>
        <c:axId val="2323672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368768"/>
        <c:crosses val="autoZero"/>
        <c:auto val="1"/>
        <c:lblAlgn val="ctr"/>
        <c:lblOffset val="100"/>
        <c:noMultiLvlLbl val="0"/>
      </c:catAx>
      <c:valAx>
        <c:axId val="2323687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36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1199.85  </a:t>
                    </a:r>
                  </a:p>
                  <a:p>
                    <a:pPr>
                      <a:defRPr lang="zh-CN" sz="1000" b="0" i="0" u="none" strike="noStrike" kern="1200" baseline="0">
                        <a:solidFill>
                          <a:schemeClr val="tx1"/>
                        </a:solidFill>
                        <a:latin typeface="+mn-lt"/>
                        <a:ea typeface="+mn-ea"/>
                        <a:cs typeface="+mn-cs"/>
                      </a:defRPr>
                    </a:pPr>
                    <a:r>
                      <a:rPr lang="en-US" altLang="zh-CN"/>
                      <a:t>1.85%</a:t>
                    </a:r>
                    <a:r>
                      <a:t>  </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12500</a:t>
                    </a:r>
                  </a:p>
                  <a:p>
                    <a:pPr>
                      <a:defRPr lang="zh-CN" sz="1000" b="0" i="0" u="none" strike="noStrike" kern="1200" baseline="0">
                        <a:solidFill>
                          <a:schemeClr val="tx1"/>
                        </a:solidFill>
                        <a:latin typeface="+mn-lt"/>
                        <a:ea typeface="+mn-ea"/>
                        <a:cs typeface="+mn-cs"/>
                      </a:defRPr>
                    </a:pPr>
                    <a:r>
                      <a:rPr lang="en-US" altLang="zh-CN"/>
                      <a:t>16.26%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102616311053645"/>
                  <c:y val="-0.223239384153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40618.78</a:t>
                    </a:r>
                  </a:p>
                  <a:p>
                    <a:pPr>
                      <a:defRPr lang="zh-CN" sz="1000" b="0" i="0" u="none" strike="noStrike" kern="1200" baseline="0">
                        <a:solidFill>
                          <a:schemeClr val="tx1"/>
                        </a:solidFill>
                        <a:latin typeface="+mn-lt"/>
                        <a:ea typeface="+mn-ea"/>
                        <a:cs typeface="+mn-cs"/>
                      </a:defRPr>
                    </a:pPr>
                    <a:r>
                      <a:rPr lang="en-US" altLang="zh-CN"/>
                      <a:t>62.57%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10594.55</a:t>
                    </a:r>
                  </a:p>
                  <a:p>
                    <a:pPr>
                      <a:defRPr lang="zh-CN" sz="1000" b="0" i="0" u="none" strike="noStrike" kern="1200" baseline="0">
                        <a:solidFill>
                          <a:schemeClr val="tx1"/>
                        </a:solidFill>
                        <a:latin typeface="+mn-lt"/>
                        <a:ea typeface="+mn-ea"/>
                        <a:cs typeface="+mn-cs"/>
                      </a:defRPr>
                    </a:pPr>
                    <a:r>
                      <a:rPr lang="en-US" altLang="zh-CN"/>
                      <a:t>16.32%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[2021决算公开图表.xls]Sheet1!$A$19:$A$22</c:f>
              <c:strCache>
                <c:ptCount val="4"/>
                <c:pt idx="0">
                  <c:v>一般公共预算财政拨款收入</c:v>
                </c:pt>
                <c:pt idx="1">
                  <c:v>政府性基金预算财政拨款收入</c:v>
                </c:pt>
                <c:pt idx="2">
                  <c:v>事业收入</c:v>
                </c:pt>
                <c:pt idx="3">
                  <c:v>其他收入</c:v>
                </c:pt>
              </c:strCache>
            </c:strRef>
          </c:cat>
          <c:val>
            <c:numRef>
              <c:f>[2021决算公开图表.xls]Sheet1!$B$19:$B$22</c:f>
              <c:numCache>
                <c:formatCode>General</c:formatCode>
                <c:ptCount val="4"/>
                <c:pt idx="0">
                  <c:v>1199.85</c:v>
                </c:pt>
                <c:pt idx="1">
                  <c:v>12500</c:v>
                </c:pt>
                <c:pt idx="2">
                  <c:v>40618.78</c:v>
                </c:pt>
                <c:pt idx="3">
                  <c:v>10594.55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57198288437575"/>
                  <c:y val="-0.24278147851178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49118.43</a:t>
                    </a:r>
                  </a:p>
                  <a:p>
                    <a:pPr>
                      <a:defRPr lang="zh-CN" sz="1000" b="0" i="0" u="none" strike="noStrike" kern="1200" baseline="0">
                        <a:solidFill>
                          <a:schemeClr val="tx1"/>
                        </a:solidFill>
                        <a:latin typeface="+mn-lt"/>
                        <a:ea typeface="+mn-ea"/>
                        <a:cs typeface="+mn-cs"/>
                      </a:defRPr>
                    </a:pPr>
                    <a:r>
                      <a:rPr lang="en-US" altLang="zh-CN"/>
                      <a:t>95.58%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6583844640989"/>
                  <c:y val="0.032700400200238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2273.24</a:t>
                    </a:r>
                  </a:p>
                  <a:p>
                    <a:pPr>
                      <a:defRPr lang="zh-CN" sz="1000" b="0" i="0" u="none" strike="noStrike" kern="1200" baseline="0">
                        <a:solidFill>
                          <a:schemeClr val="tx1"/>
                        </a:solidFill>
                        <a:latin typeface="+mn-lt"/>
                        <a:ea typeface="+mn-ea"/>
                        <a:cs typeface="+mn-cs"/>
                      </a:defRPr>
                    </a:pPr>
                    <a:r>
                      <a:rPr lang="en-US" altLang="zh-CN"/>
                      <a:t>4.42%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[2021决算公开图表.xls]Sheet1!$A$37:$A$38</c:f>
              <c:strCache>
                <c:ptCount val="2"/>
                <c:pt idx="0">
                  <c:v>基本支出</c:v>
                </c:pt>
                <c:pt idx="1">
                  <c:v>项目支出</c:v>
                </c:pt>
              </c:strCache>
            </c:strRef>
          </c:cat>
          <c:val>
            <c:numRef>
              <c:f>[2021决算公开图表.xls]Sheet1!$B$37:$B$38</c:f>
              <c:numCache>
                <c:formatCode>General</c:formatCode>
                <c:ptCount val="2"/>
                <c:pt idx="0">
                  <c:v>49118.43</c:v>
                </c:pt>
                <c:pt idx="1">
                  <c:v>2273.24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154027777777778"/>
          <c:y val="0.03125"/>
        </c:manualLayout>
      </c:layout>
      <c:overlay val="0"/>
      <c:spPr>
        <a:noFill/>
        <a:ln>
          <a:noFill/>
        </a:ln>
        <a:effectLst/>
      </c:spPr>
    </c:title>
    <c:autoTitleDeleted val="0"/>
    <c:plotArea>
      <c:layout/>
      <c:barChart>
        <c:barDir val="col"/>
        <c:grouping val="clustered"/>
        <c:varyColors val="0"/>
        <c:ser>
          <c:idx val="0"/>
          <c:order val="0"/>
          <c:tx>
            <c:strRef>
              <c:f>[2021决算公开图表.xls]Sheet1!$A$54</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[2021决算公开图表.xls]Sheet1!$B$53:$C$53</c:f>
              <c:strCache>
                <c:ptCount val="2"/>
                <c:pt idx="0">
                  <c:v>2020年</c:v>
                </c:pt>
                <c:pt idx="1">
                  <c:v>2021年</c:v>
                </c:pt>
              </c:strCache>
            </c:strRef>
          </c:cat>
          <c:val>
            <c:numRef>
              <c:f>[2021决算公开图表.xls]Sheet1!$B$54:$C$54</c:f>
              <c:numCache>
                <c:formatCode>General</c:formatCode>
                <c:ptCount val="2"/>
                <c:pt idx="0">
                  <c:v>6279.32</c:v>
                </c:pt>
                <c:pt idx="1">
                  <c:v>13699.85</c:v>
                </c:pt>
              </c:numCache>
            </c:numRef>
          </c:val>
        </c:ser>
        <c:ser>
          <c:idx val="1"/>
          <c:order val="1"/>
          <c:tx>
            <c:strRef>
              <c:f>[2021决算公开图表.xls]Sheet1!$A$55</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[2021决算公开图表.xls]Sheet1!$B$53:$C$53</c:f>
              <c:strCache>
                <c:ptCount val="2"/>
                <c:pt idx="0">
                  <c:v>2020年</c:v>
                </c:pt>
                <c:pt idx="1">
                  <c:v>2021年</c:v>
                </c:pt>
              </c:strCache>
            </c:strRef>
          </c:cat>
          <c:val>
            <c:numRef>
              <c:f>[2021决算公开图表.xls]Sheet1!$B$55:$C$55</c:f>
              <c:numCache>
                <c:formatCode>General</c:formatCode>
                <c:ptCount val="2"/>
                <c:pt idx="0">
                  <c:v>6023.44</c:v>
                </c:pt>
                <c:pt idx="1">
                  <c:v>2015.47</c:v>
                </c:pt>
              </c:numCache>
            </c:numRef>
          </c:val>
        </c:ser>
        <c:dLbls>
          <c:showLegendKey val="0"/>
          <c:showVal val="1"/>
          <c:showCatName val="0"/>
          <c:showSerName val="0"/>
          <c:showPercent val="0"/>
          <c:showBubbleSize val="0"/>
        </c:dLbls>
        <c:gapWidth val="219"/>
        <c:overlap val="-27"/>
        <c:axId val="232580992"/>
        <c:axId val="232582528"/>
      </c:barChart>
      <c:catAx>
        <c:axId val="2325809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582528"/>
        <c:crosses val="autoZero"/>
        <c:auto val="1"/>
        <c:lblAlgn val="ctr"/>
        <c:lblOffset val="100"/>
        <c:noMultiLvlLbl val="0"/>
      </c:catAx>
      <c:valAx>
        <c:axId val="232582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5809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113833333333333"/>
          <c:y val="0.22037037037037"/>
          <c:w val="0.882"/>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[2021决算公开图表.xls]Sheet1!$A$70:$A$71</c:f>
              <c:strCache>
                <c:ptCount val="2"/>
                <c:pt idx="0">
                  <c:v>2020年</c:v>
                </c:pt>
                <c:pt idx="1">
                  <c:v>2021年</c:v>
                </c:pt>
              </c:strCache>
            </c:strRef>
          </c:cat>
          <c:val>
            <c:numRef>
              <c:f>[2021决算公开图表.xls]Sheet1!$B$70:$B$71</c:f>
              <c:numCache>
                <c:formatCode>General</c:formatCode>
                <c:ptCount val="2"/>
                <c:pt idx="0">
                  <c:v>999.44</c:v>
                </c:pt>
                <c:pt idx="1">
                  <c:v>1247.31</c:v>
                </c:pt>
              </c:numCache>
            </c:numRef>
          </c:val>
        </c:ser>
        <c:dLbls>
          <c:showLegendKey val="0"/>
          <c:showVal val="1"/>
          <c:showCatName val="0"/>
          <c:showSerName val="0"/>
          <c:showPercent val="0"/>
          <c:showBubbleSize val="0"/>
        </c:dLbls>
        <c:gapWidth val="219"/>
        <c:overlap val="-27"/>
        <c:axId val="110116224"/>
        <c:axId val="110134400"/>
      </c:barChart>
      <c:catAx>
        <c:axId val="1101162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34400"/>
        <c:crosses val="autoZero"/>
        <c:auto val="1"/>
        <c:lblAlgn val="ctr"/>
        <c:lblOffset val="100"/>
        <c:noMultiLvlLbl val="0"/>
      </c:catAx>
      <c:valAx>
        <c:axId val="110134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16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15 </a:t>
                    </a:r>
                    <a:r>
                      <a:rPr lang="en-US" altLang="zh-CN"/>
                      <a:t>1.2%</a:t>
                    </a:r>
                    <a:endParaRPr lang="en-US" altLang="zh-CN"/>
                  </a:p>
                </c:rich>
              </c:tx>
              <c:dLblPos val="bestFit"/>
              <c:showLegendKey val="0"/>
              <c:showVal val="1"/>
              <c:showCatName val="0"/>
              <c:showSerName val="0"/>
              <c:showPercent val="0"/>
              <c:showBubbleSize val="0"/>
              <c:separator>
</c:separator>
              <c:extLst>
                <c:ext xmlns:c15="http://schemas.microsoft.com/office/drawing/2012/chart" uri="{CE6537A1-D6FC-4f65-9D91-7224C49458BB}"/>
              </c:extLst>
            </c:dLbl>
            <c:dLbl>
              <c:idx val="1"/>
              <c:layout>
                <c:manualLayout>
                  <c:x val="-0.114583333333333"/>
                  <c:y val="0.017361111111111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510.16  </a:t>
                    </a:r>
                  </a:p>
                  <a:p>
                    <a:pPr>
                      <a:defRPr lang="zh-CN" sz="900" b="0" i="0" u="none" strike="noStrike" kern="1200" baseline="0">
                        <a:solidFill>
                          <a:schemeClr val="tx1">
                            <a:lumMod val="75000"/>
                            <a:lumOff val="25000"/>
                          </a:schemeClr>
                        </a:solidFill>
                        <a:latin typeface="+mn-lt"/>
                        <a:ea typeface="+mn-ea"/>
                        <a:cs typeface="+mn-cs"/>
                      </a:defRPr>
                    </a:pPr>
                    <a:r>
                      <a:rPr lang="en-US" altLang="zh-CN"/>
                      <a:t>40.9%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30506220164463"/>
                  <c:y val="-0.10797491603350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722.15</a:t>
                    </a:r>
                  </a:p>
                  <a:p>
                    <a:pPr>
                      <a:defRPr lang="zh-CN" sz="900" b="0" i="0" u="none" strike="noStrike" kern="1200" baseline="0">
                        <a:solidFill>
                          <a:schemeClr val="tx1">
                            <a:lumMod val="75000"/>
                            <a:lumOff val="25000"/>
                          </a:schemeClr>
                        </a:solidFill>
                        <a:latin typeface="+mn-lt"/>
                        <a:ea typeface="+mn-ea"/>
                        <a:cs typeface="+mn-cs"/>
                      </a:defRPr>
                    </a:pPr>
                    <a:r>
                      <a:rPr lang="en-US" altLang="zh-CN"/>
                      <a:t>57.9%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[2021决算公开图表.xls]Sheet1!$A$88:$A$90</c:f>
              <c:strCache>
                <c:ptCount val="3"/>
                <c:pt idx="0">
                  <c:v>一般公共服务（类）支出</c:v>
                </c:pt>
                <c:pt idx="1">
                  <c:v>社会保障和就业（类）支出</c:v>
                </c:pt>
                <c:pt idx="2">
                  <c:v>卫生健康支出</c:v>
                </c:pt>
              </c:strCache>
            </c:strRef>
          </c:cat>
          <c:val>
            <c:numRef>
              <c:f>[2021决算公开图表.xls]Sheet1!$B$88:$B$90</c:f>
              <c:numCache>
                <c:formatCode>General</c:formatCode>
                <c:ptCount val="3"/>
                <c:pt idx="0">
                  <c:v>15</c:v>
                </c:pt>
                <c:pt idx="1">
                  <c:v>510.16</c:v>
                </c:pt>
                <c:pt idx="2">
                  <c:v>722.15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[2021决算公开图表.xls]Sheet1!$A$103:$A$105</c:f>
              <c:strCache>
                <c:ptCount val="3"/>
                <c:pt idx="0">
                  <c:v>因公出国（境）费支出</c:v>
                </c:pt>
                <c:pt idx="1">
                  <c:v>公务用车购置及运行维护费支出</c:v>
                </c:pt>
                <c:pt idx="2">
                  <c:v>公务接待费支出</c:v>
                </c:pt>
              </c:strCache>
            </c:strRef>
          </c:cat>
          <c:val>
            <c:numRef>
              <c:f>[2021决算公开图表.xls]Sheet1!$B$103:$B$105</c:f>
              <c:numCache>
                <c:formatCode>General</c:formatCode>
                <c:ptCount val="3"/>
                <c:pt idx="0">
                  <c:v>0</c:v>
                </c:pt>
                <c:pt idx="1">
                  <c:v>14.47</c:v>
                </c:pt>
                <c:pt idx="2">
                  <c:v>0</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11828</Words>
  <Characters>12761</Characters>
  <Lines>114</Lines>
  <Paragraphs>32</Paragraphs>
  <TotalTime>353</TotalTime>
  <ScaleCrop>false</ScaleCrop>
  <LinksUpToDate>false</LinksUpToDate>
  <CharactersWithSpaces>13106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2021-09-09T03:29:00Z</dcterms:created>
  <dc:creator>Administrator</dc:creator>
  <cp:lastModifiedBy>CUK-LD</cp:lastModifiedBy>
  <cp:lastPrinted>2022-10-13T08:07:00Z</cp:lastPrinted>
  <dcterms:modified xsi:type="dcterms:W3CDTF">2023-09-18T04:30:29Z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AD572CED77974D8E8408BD5F759D5159</vt:lpwstr>
  </property>
</Properties>
</file>