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360" w:lineRule="auto"/>
        <w:ind w:firstLine="2209" w:firstLineChars="5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试剂采购需求及要求</w:t>
      </w:r>
      <w:r>
        <w:rPr>
          <w:rFonts w:hint="eastAsia"/>
          <w:b/>
          <w:bCs/>
          <w:lang w:val="en-US" w:eastAsia="zh-CN"/>
        </w:rPr>
        <w:t xml:space="preserve">    </w:t>
      </w:r>
    </w:p>
    <w:p>
      <w:pPr>
        <w:pStyle w:val="10"/>
        <w:numPr>
          <w:ilvl w:val="0"/>
          <w:numId w:val="0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1：能够匹配目前检验科实验室已有的仪器设备。</w:t>
      </w:r>
    </w:p>
    <w:p>
      <w:pPr>
        <w:pStyle w:val="10"/>
        <w:numPr>
          <w:ilvl w:val="0"/>
          <w:numId w:val="0"/>
        </w:numPr>
        <w:spacing w:line="360" w:lineRule="auto"/>
        <w:ind w:firstLine="211" w:firstLineChars="100"/>
        <w:rPr>
          <w:b/>
          <w:bCs/>
        </w:rPr>
      </w:pPr>
      <w:r>
        <w:rPr>
          <w:rFonts w:hint="eastAsia"/>
          <w:b/>
          <w:bCs/>
          <w:lang w:val="en-US" w:eastAsia="zh-CN"/>
        </w:rPr>
        <w:t>2：需求产品清单一</w:t>
      </w:r>
      <w:r>
        <w:rPr>
          <w:b/>
          <w:bCs/>
        </w:rPr>
        <w:t>：</w:t>
      </w:r>
    </w:p>
    <w:tbl>
      <w:tblPr>
        <w:tblStyle w:val="5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568"/>
        <w:gridCol w:w="1113"/>
        <w:gridCol w:w="3129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9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68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    名</w:t>
            </w: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需求数量</w:t>
            </w:r>
          </w:p>
        </w:tc>
        <w:tc>
          <w:tcPr>
            <w:tcW w:w="3129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参数要求</w:t>
            </w:r>
          </w:p>
        </w:tc>
        <w:tc>
          <w:tcPr>
            <w:tcW w:w="945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MTHFR(C677T)基因多态性检测试剂盒（PCR-熔解曲线法）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采用PCR技术，能够使用SLAN-96P/MA6000/MC1000荧光PCR仪进行扩增检测，结果判读简便，分型结果准确，符合科研需求。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ind w:left="180" w:hanging="180" w:hangingChars="100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HTR A1298C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和MT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RR A66G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基因多态性检测试剂盒（PCR-溶解曲线法）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采用PCR技术，能够使用SLAN-96P/MA6000/MC1000荧光PCR仪进行扩增检测，结果判读简便，分型结果准确，符合科研需求。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乙型肝炎病毒BCP区1762/1764位点基因突变检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采用PCR技术，能够使用SLAN-96P/MA6000/MC1000荧光PCR仪进行扩增检测，结果判读简便，突变结果准确，符合科研需求。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ascii="Calibri" w:hAnsi="Calibri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乙型肝炎病毒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前C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1896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位点基因突变检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采用PCR技术，能够使用SLAN-96P/MA6000/MC1000荧光PCR仪进行扩增检测，结果判读简便，突变结果准确，符合科研需求。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大肠杆菌核酸扩增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采用PCR技术，能够使用SLAN-96P/MA6000/MC1000荧光PCR仪进行扩增检测，结果判读简便，可以进行定量检测，符合科研需求。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乳酸杆菌核酸扩增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采用PCR技术，能够使用SLAN-96P/MA6000/MC1000荧光PCR仪进行扩增检测，结果判读简便，可以进行定量检测，符合科研需求。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粪肠球菌核酸扩增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采用PCR技术，能够使用SLAN-96P/MA6000/MC1000荧光PCR仪进行扩增检测，结果判读简便，可以进行定量检测，符合科研需求。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8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双歧杆菌核酸扩增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测试剂盒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（荧光PCR法）</w:t>
            </w:r>
          </w:p>
        </w:tc>
        <w:tc>
          <w:tcPr>
            <w:tcW w:w="111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200人份</w:t>
            </w:r>
          </w:p>
        </w:tc>
        <w:tc>
          <w:tcPr>
            <w:tcW w:w="3129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采用PCR技术，能够使用SLAN-96P/MA6000/MC1000荧光PCR仪进行扩增检测，结果判读简便，可以进行定量检测，符合科研需求。</w:t>
            </w:r>
          </w:p>
        </w:tc>
        <w:tc>
          <w:tcPr>
            <w:tcW w:w="945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分批购买</w:t>
            </w:r>
          </w:p>
        </w:tc>
      </w:tr>
    </w:tbl>
    <w:p>
      <w:pPr>
        <w:pStyle w:val="10"/>
        <w:spacing w:line="360" w:lineRule="auto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>检测技术方法为PCR技术，能匹配实时荧光PCR分析仪进行检测，试剂采购按照需求分批采购。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3：需求产品清单二</w:t>
      </w:r>
      <w:r>
        <w:rPr>
          <w:b/>
          <w:bCs/>
        </w:rPr>
        <w:t>：</w:t>
      </w:r>
    </w:p>
    <w:tbl>
      <w:tblPr>
        <w:tblStyle w:val="5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60"/>
        <w:gridCol w:w="1320"/>
        <w:gridCol w:w="2627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34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60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    名</w:t>
            </w:r>
          </w:p>
        </w:tc>
        <w:tc>
          <w:tcPr>
            <w:tcW w:w="1320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需求数量</w:t>
            </w:r>
          </w:p>
        </w:tc>
        <w:tc>
          <w:tcPr>
            <w:tcW w:w="2627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参数要求</w:t>
            </w:r>
          </w:p>
        </w:tc>
        <w:tc>
          <w:tcPr>
            <w:tcW w:w="1453" w:type="dxa"/>
            <w:tcBorders>
              <w:top w:val="single" w:color="0000FF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肠球菌选择培养基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100个</w:t>
            </w:r>
            <w:r>
              <w:rPr>
                <w:rFonts w:hint="eastAsia"/>
                <w:lang w:val="en-US" w:eastAsia="zh-CN"/>
              </w:rPr>
              <w:t>9cm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ind w:left="180" w:hanging="180" w:hangingChars="100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乳酸杆菌选择培养基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100个</w:t>
            </w:r>
            <w:r>
              <w:rPr>
                <w:rFonts w:hint="eastAsia"/>
                <w:lang w:val="en-US" w:eastAsia="zh-CN"/>
              </w:rPr>
              <w:t>9cm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双歧杆菌选择培养基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100个</w:t>
            </w:r>
            <w:r>
              <w:rPr>
                <w:rFonts w:hint="eastAsia"/>
                <w:lang w:val="en-US" w:eastAsia="zh-CN"/>
              </w:rPr>
              <w:t>9cm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厌氧袋及指示剂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厌氧罐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个</w:t>
            </w:r>
            <w:r>
              <w:rPr>
                <w:rFonts w:hint="eastAsia"/>
                <w:lang w:val="en-US" w:eastAsia="zh-CN"/>
              </w:rPr>
              <w:t>3.5L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4" w:type="dxa"/>
            <w:tcBorders>
              <w:left w:val="single" w:color="0000FF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tabs>
                <w:tab w:val="center" w:pos="882"/>
              </w:tabs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大肠杆菌选择培养基</w:t>
            </w:r>
          </w:p>
        </w:tc>
        <w:tc>
          <w:tcPr>
            <w:tcW w:w="1320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100个</w:t>
            </w:r>
            <w:r>
              <w:rPr>
                <w:rFonts w:hint="eastAsia"/>
                <w:lang w:val="en-US" w:eastAsia="zh-CN"/>
              </w:rPr>
              <w:t>9cm</w:t>
            </w:r>
          </w:p>
        </w:tc>
        <w:tc>
          <w:tcPr>
            <w:tcW w:w="2627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保质期1年，能满足科研需求。</w:t>
            </w:r>
          </w:p>
        </w:tc>
        <w:tc>
          <w:tcPr>
            <w:tcW w:w="1453" w:type="dxa"/>
            <w:tcBorders>
              <w:top w:val="single" w:color="FF0000" w:sz="4" w:space="0"/>
              <w:left w:val="single" w:color="0000FF" w:sz="4" w:space="0"/>
              <w:bottom w:val="single" w:color="FF0000" w:sz="4" w:space="0"/>
              <w:right w:val="single" w:color="0000FF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根据研究进度购买</w:t>
            </w:r>
          </w:p>
        </w:tc>
      </w:tr>
    </w:tbl>
    <w:p>
      <w:pPr>
        <w:pStyle w:val="10"/>
        <w:spacing w:line="360" w:lineRule="auto"/>
        <w:ind w:left="0" w:leftChars="0" w:firstLine="0" w:firstLineChars="0"/>
      </w:pPr>
    </w:p>
    <w:p>
      <w:pPr>
        <w:pStyle w:val="10"/>
        <w:spacing w:line="360" w:lineRule="auto"/>
        <w:ind w:left="0" w:leftChars="0" w:firstLine="0" w:firstLineChars="0"/>
      </w:pPr>
    </w:p>
    <w:p>
      <w:pPr>
        <w:pStyle w:val="10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3OWM4NzIxMjkwMGNlMmVhNmI5N2Y5OGE5ODVmN2EifQ=="/>
  </w:docVars>
  <w:rsids>
    <w:rsidRoot w:val="00000000"/>
    <w:rsid w:val="17EE22B8"/>
    <w:rsid w:val="22084E86"/>
    <w:rsid w:val="40736F4F"/>
    <w:rsid w:val="4D776BEB"/>
    <w:rsid w:val="4E676C65"/>
    <w:rsid w:val="6B0C11E7"/>
    <w:rsid w:val="702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1084</Words>
  <Characters>1420</Characters>
  <Paragraphs>80</Paragraphs>
  <TotalTime>11</TotalTime>
  <ScaleCrop>false</ScaleCrop>
  <LinksUpToDate>false</LinksUpToDate>
  <CharactersWithSpaces>1548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2017-09-29T05:11:00Z</dcterms:created>
  <dc:creator>User</dc:creator>
  <cp:lastModifiedBy>李绯</cp:lastModifiedBy>
  <cp:lastPrinted>2019-05-13T02:17:00Z</cp:lastPrinted>
  <dcterms:modified xsi:type="dcterms:W3CDTF">2023-08-17T09:41:01Z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4E90BDDF78094F9BB81EF2C0395376BA</vt:lpwstr>
  </property>
  <property fmtid="{D5CDD505-2E9C-101B-9397-08002B2CF9AE}" pid="3" name="KSOProductBuildVer">
    <vt:lpwstr>2052-11.8.2.11813</vt:lpwstr>
  </property>
</Properties>
</file>