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60" w:line="240" w:lineRule="auto"/>
        <w:jc w:val="center"/>
        <w:outlineLvl w:val="0"/>
      </w:pPr>
      <w:r>
        <w:rPr>
          <w:rFonts w:hint="default" w:ascii="仿宋" w:hAnsi="仿宋" w:eastAsia="仿宋" w:cs="宋体"/>
          <w:b/>
          <w:bCs/>
          <w:i w:val="0"/>
          <w:iCs w:val="0"/>
          <w:color w:val="auto"/>
          <w:kern w:val="2"/>
          <w:sz w:val="32"/>
          <w:szCs w:val="32"/>
          <w:highlight w:val="none"/>
          <w:vertAlign w:val="baseline"/>
          <w:lang w:val="en-US" w:eastAsia="zh-CN"/>
        </w:rPr>
        <w:t>采购项目技术、服务、采购合同内容条款及其他商务要求</w:t>
      </w:r>
    </w:p>
    <w:p>
      <w:pPr>
        <w:spacing w:line="360" w:lineRule="auto"/>
        <w:ind w:firstLine="420" w:firstLineChars="200"/>
        <w:jc w:val="both"/>
      </w:pPr>
    </w:p>
    <w:p>
      <w:pPr>
        <w:spacing w:line="240" w:lineRule="auto"/>
        <w:ind w:firstLine="482" w:firstLineChars="200"/>
        <w:jc w:val="both"/>
      </w:pPr>
      <w:bookmarkStart w:id="0" w:name="PO_默认文件内容_27"/>
      <w:r>
        <w:rPr>
          <w:rFonts w:hint="default" w:ascii="仿宋" w:hAnsi="仿宋" w:eastAsia="仿宋" w:cs="宋体"/>
          <w:b/>
          <w:bCs/>
          <w:i w:val="0"/>
          <w:iCs w:val="0"/>
          <w:color w:val="auto"/>
          <w:kern w:val="0"/>
          <w:sz w:val="24"/>
          <w:szCs w:val="24"/>
          <w:highlight w:val="none"/>
          <w:vertAlign w:val="baseline"/>
          <w:lang w:val="en-US" w:eastAsia="zh-CN"/>
        </w:rPr>
        <w:t>前提：本章采购需求中标注“★”号的条款为本次磋商采购项目的实质性要求，供应商应全部满足。</w:t>
      </w:r>
      <w:bookmarkEnd w:id="0"/>
    </w:p>
    <w:p>
      <w:pPr>
        <w:keepNext/>
        <w:keepLines/>
        <w:spacing w:before="260" w:after="260" w:line="400" w:lineRule="exact"/>
        <w:ind w:firstLine="420" w:firstLineChars="0"/>
        <w:jc w:val="both"/>
        <w:outlineLvl w:val="1"/>
      </w:pPr>
      <w:r>
        <w:rPr>
          <w:rFonts w:hint="eastAsia" w:ascii="仿宋" w:hAnsi="仿宋" w:eastAsia="仿宋" w:cs="Times New Roman"/>
          <w:b/>
          <w:bCs/>
          <w:i w:val="0"/>
          <w:iCs w:val="0"/>
          <w:color w:val="auto"/>
          <w:kern w:val="2"/>
          <w:sz w:val="24"/>
          <w:szCs w:val="24"/>
          <w:highlight w:val="none"/>
          <w:vertAlign w:val="baseline"/>
          <w:lang w:val="en-US" w:eastAsia="zh-CN"/>
        </w:rPr>
        <w:t>一</w:t>
      </w:r>
      <w:r>
        <w:rPr>
          <w:rFonts w:hint="default" w:ascii="仿宋" w:hAnsi="仿宋" w:eastAsia="仿宋" w:cs="Times New Roman"/>
          <w:b/>
          <w:bCs/>
          <w:i w:val="0"/>
          <w:iCs w:val="0"/>
          <w:color w:val="auto"/>
          <w:kern w:val="2"/>
          <w:sz w:val="24"/>
          <w:szCs w:val="24"/>
          <w:highlight w:val="none"/>
          <w:vertAlign w:val="baseline"/>
          <w:lang w:val="en-US" w:eastAsia="zh-CN"/>
        </w:rPr>
        <w:t>.项目概述</w:t>
      </w:r>
    </w:p>
    <w:p>
      <w:pPr>
        <w:spacing w:line="360" w:lineRule="auto"/>
        <w:ind w:firstLine="480" w:firstLineChars="200"/>
        <w:jc w:val="both"/>
      </w:pPr>
      <w:r>
        <w:rPr>
          <w:rFonts w:hint="default" w:ascii="仿宋" w:hAnsi="仿宋" w:eastAsia="仿宋" w:cs="仿宋"/>
          <w:b w:val="0"/>
          <w:bCs w:val="0"/>
          <w:i w:val="0"/>
          <w:iCs w:val="0"/>
          <w:color w:val="auto"/>
          <w:kern w:val="2"/>
          <w:sz w:val="24"/>
          <w:szCs w:val="24"/>
          <w:highlight w:val="none"/>
          <w:vertAlign w:val="baseline"/>
          <w:lang w:val="en-US" w:eastAsia="zh-CN"/>
        </w:rPr>
        <w:t>1.项目背景：</w:t>
      </w:r>
      <w:r>
        <w:rPr>
          <w:rFonts w:hint="eastAsia" w:ascii="仿宋" w:hAnsi="仿宋" w:eastAsia="仿宋" w:cs="仿宋"/>
          <w:b w:val="0"/>
          <w:bCs w:val="0"/>
          <w:i w:val="0"/>
          <w:iCs w:val="0"/>
          <w:color w:val="auto"/>
          <w:kern w:val="2"/>
          <w:sz w:val="24"/>
          <w:szCs w:val="24"/>
          <w:highlight w:val="none"/>
          <w:vertAlign w:val="baseline"/>
          <w:lang w:val="en-US" w:eastAsia="zh-CN"/>
        </w:rPr>
        <w:t>自贡市第三人民医院</w:t>
      </w:r>
      <w:r>
        <w:rPr>
          <w:rFonts w:hint="default" w:ascii="仿宋" w:hAnsi="仿宋" w:eastAsia="仿宋" w:cs="仿宋"/>
          <w:b w:val="0"/>
          <w:bCs w:val="0"/>
          <w:i w:val="0"/>
          <w:iCs w:val="0"/>
          <w:color w:val="auto"/>
          <w:kern w:val="2"/>
          <w:sz w:val="24"/>
          <w:szCs w:val="24"/>
          <w:highlight w:val="none"/>
          <w:vertAlign w:val="baseline"/>
          <w:lang w:val="en-US" w:eastAsia="zh-CN"/>
        </w:rPr>
        <w:t>依据《中华人民共和国网络安全法》等相关要求，对本单位的信息系统进行网络安全等级保护测评工作。本次信息安全等级保护测评涵盖安全技术内容包括：安全技术测评：包括安全物理环境、安全通信网络、安全区域边界、安全计算环境和安全管理中心等五个方面的安全测评。安全管理测评：包括安全管理制度、安全管理机构、安全管理人员、安全建设管理和安全运维管理等五个方面的安全测评。依据相关的测评准则，结合系统的构成特点，确定具体的测评对象，制定测评方案，通过访谈、检查、测评和系统分析等方式判断其安全技术和安全管理的各方面是否达到了相应等级的国家信息系统等级保护要求，找出信息系统中存在的安全隐患，对安全性进行整体评估，制定相关的信息安全整体安全策略和中长期的安全规划，以便对被测系统进行安全方面的调整和改进，确保其安全防护水平达到信息系统安全等级保护相应能力的要求。</w:t>
      </w:r>
    </w:p>
    <w:p>
      <w:pPr>
        <w:spacing w:line="360" w:lineRule="auto"/>
        <w:ind w:firstLine="480" w:firstLineChars="200"/>
        <w:jc w:val="both"/>
      </w:pPr>
      <w:r>
        <w:rPr>
          <w:rFonts w:hint="default" w:ascii="仿宋" w:hAnsi="仿宋" w:eastAsia="仿宋" w:cs="仿宋"/>
          <w:b w:val="0"/>
          <w:bCs w:val="0"/>
          <w:i w:val="0"/>
          <w:iCs w:val="0"/>
          <w:color w:val="auto"/>
          <w:kern w:val="2"/>
          <w:sz w:val="24"/>
          <w:szCs w:val="24"/>
          <w:highlight w:val="none"/>
          <w:vertAlign w:val="baseline"/>
          <w:lang w:val="en-US" w:eastAsia="zh-CN"/>
        </w:rPr>
        <w:t>2.标的名称和所属行业：</w:t>
      </w:r>
      <w:r>
        <w:rPr>
          <w:rFonts w:hint="default" w:ascii="仿宋" w:hAnsi="仿宋" w:eastAsia="仿宋" w:cs="仿宋"/>
          <w:b/>
          <w:bCs/>
          <w:i w:val="0"/>
          <w:iCs w:val="0"/>
          <w:color w:val="auto"/>
          <w:kern w:val="2"/>
          <w:sz w:val="24"/>
          <w:szCs w:val="24"/>
          <w:highlight w:val="none"/>
          <w:vertAlign w:val="baseline"/>
          <w:lang w:val="en-US" w:eastAsia="zh-CN"/>
        </w:rPr>
        <w:t>标的名称：</w:t>
      </w:r>
      <w:r>
        <w:rPr>
          <w:rFonts w:hint="eastAsia" w:ascii="仿宋" w:hAnsi="仿宋" w:eastAsia="仿宋" w:cs="仿宋"/>
          <w:b/>
          <w:bCs/>
          <w:i w:val="0"/>
          <w:iCs w:val="0"/>
          <w:color w:val="auto"/>
          <w:kern w:val="2"/>
          <w:sz w:val="24"/>
          <w:szCs w:val="24"/>
          <w:highlight w:val="none"/>
          <w:vertAlign w:val="baseline"/>
          <w:lang w:val="en-US" w:eastAsia="zh-CN"/>
        </w:rPr>
        <w:t>自贡市第三人民医院</w:t>
      </w:r>
      <w:r>
        <w:rPr>
          <w:rFonts w:hint="default" w:ascii="仿宋" w:hAnsi="仿宋" w:eastAsia="仿宋" w:cs="仿宋"/>
          <w:b w:val="0"/>
          <w:bCs w:val="0"/>
          <w:i w:val="0"/>
          <w:iCs w:val="0"/>
          <w:color w:val="auto"/>
          <w:kern w:val="2"/>
          <w:sz w:val="24"/>
          <w:szCs w:val="24"/>
          <w:highlight w:val="none"/>
          <w:vertAlign w:val="baseline"/>
          <w:lang w:val="en-US" w:eastAsia="zh-CN"/>
        </w:rPr>
        <w:t>网络安全等级保护测评服务；</w:t>
      </w:r>
      <w:r>
        <w:rPr>
          <w:rFonts w:hint="default" w:ascii="仿宋" w:hAnsi="仿宋" w:eastAsia="仿宋" w:cs="仿宋"/>
          <w:b/>
          <w:bCs/>
          <w:i w:val="0"/>
          <w:iCs w:val="0"/>
          <w:color w:val="auto"/>
          <w:kern w:val="2"/>
          <w:sz w:val="24"/>
          <w:szCs w:val="24"/>
          <w:highlight w:val="none"/>
          <w:vertAlign w:val="baseline"/>
          <w:lang w:val="en-US" w:eastAsia="zh-CN"/>
        </w:rPr>
        <w:t>所属行业：</w:t>
      </w:r>
      <w:r>
        <w:rPr>
          <w:rFonts w:hint="default" w:ascii="仿宋" w:hAnsi="仿宋" w:eastAsia="仿宋" w:cs="仿宋"/>
          <w:b w:val="0"/>
          <w:bCs w:val="0"/>
          <w:i w:val="0"/>
          <w:iCs w:val="0"/>
          <w:color w:val="auto"/>
          <w:kern w:val="2"/>
          <w:sz w:val="24"/>
          <w:szCs w:val="24"/>
          <w:highlight w:val="none"/>
          <w:vertAlign w:val="baseline"/>
          <w:lang w:val="en-US" w:eastAsia="zh-CN"/>
        </w:rPr>
        <w:t>软件和信息技术服务业。</w:t>
      </w:r>
    </w:p>
    <w:p>
      <w:pPr>
        <w:keepNext/>
        <w:keepLines/>
        <w:spacing w:before="260" w:after="260" w:line="400" w:lineRule="exact"/>
        <w:ind w:firstLine="236" w:firstLineChars="98"/>
        <w:jc w:val="both"/>
        <w:outlineLvl w:val="1"/>
      </w:pPr>
      <w:r>
        <w:rPr>
          <w:rFonts w:hint="default" w:ascii="仿宋" w:hAnsi="仿宋" w:eastAsia="仿宋" w:cs="Times New Roman"/>
          <w:b/>
          <w:bCs/>
          <w:i w:val="0"/>
          <w:iCs w:val="0"/>
          <w:color w:val="auto"/>
          <w:kern w:val="2"/>
          <w:sz w:val="24"/>
          <w:szCs w:val="24"/>
          <w:highlight w:val="none"/>
          <w:vertAlign w:val="baseline"/>
          <w:lang w:val="en-US" w:eastAsia="zh-CN"/>
        </w:rPr>
        <w:t>★</w:t>
      </w:r>
      <w:r>
        <w:rPr>
          <w:rFonts w:hint="eastAsia" w:ascii="仿宋" w:hAnsi="仿宋" w:eastAsia="仿宋" w:cs="Times New Roman"/>
          <w:b/>
          <w:bCs/>
          <w:i w:val="0"/>
          <w:iCs w:val="0"/>
          <w:color w:val="auto"/>
          <w:kern w:val="2"/>
          <w:sz w:val="24"/>
          <w:szCs w:val="24"/>
          <w:highlight w:val="none"/>
          <w:vertAlign w:val="baseline"/>
          <w:lang w:val="en-US" w:eastAsia="zh-CN"/>
        </w:rPr>
        <w:t>二</w:t>
      </w:r>
      <w:r>
        <w:rPr>
          <w:rFonts w:hint="default" w:ascii="仿宋" w:hAnsi="仿宋" w:eastAsia="仿宋" w:cs="Times New Roman"/>
          <w:b/>
          <w:bCs/>
          <w:i w:val="0"/>
          <w:iCs w:val="0"/>
          <w:color w:val="auto"/>
          <w:kern w:val="2"/>
          <w:sz w:val="24"/>
          <w:szCs w:val="24"/>
          <w:highlight w:val="none"/>
          <w:vertAlign w:val="baseline"/>
          <w:lang w:val="en-US" w:eastAsia="zh-CN"/>
        </w:rPr>
        <w:t>.技术服务要求</w:t>
      </w:r>
    </w:p>
    <w:p>
      <w:pPr>
        <w:tabs>
          <w:tab w:val="left" w:pos="560"/>
          <w:tab w:val="left" w:pos="720"/>
        </w:tabs>
        <w:adjustRightInd w:val="0"/>
        <w:snapToGrid w:val="0"/>
        <w:spacing w:before="240" w:beforeLines="100" w:after="240" w:afterLines="100" w:line="360" w:lineRule="auto"/>
        <w:ind w:firstLine="482" w:firstLineChars="200"/>
        <w:jc w:val="both"/>
      </w:pPr>
      <w:bookmarkStart w:id="1" w:name="_Toc495999281"/>
      <w:bookmarkStart w:id="2" w:name="_Toc9865044"/>
      <w:r>
        <w:rPr>
          <w:rFonts w:hint="default" w:ascii="仿宋" w:hAnsi="仿宋" w:eastAsia="仿宋" w:cs="Times New Roman"/>
          <w:b/>
          <w:bCs/>
          <w:i w:val="0"/>
          <w:iCs w:val="0"/>
          <w:color w:val="auto"/>
          <w:kern w:val="2"/>
          <w:sz w:val="24"/>
          <w:szCs w:val="24"/>
          <w:highlight w:val="none"/>
          <w:vertAlign w:val="baseline"/>
          <w:lang w:val="en-US" w:eastAsia="zh-CN"/>
        </w:rPr>
        <w:t>1、标准和规范</w:t>
      </w:r>
      <w:bookmarkEnd w:id="1"/>
      <w:bookmarkEnd w:id="2"/>
    </w:p>
    <w:p>
      <w:pPr>
        <w:tabs>
          <w:tab w:val="left" w:pos="560"/>
          <w:tab w:val="left" w:pos="720"/>
        </w:tabs>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下列文件中的条款通过本规范的引用而成为本规范的条款，除本技术规范书特别规定外，所提供的测评标准均应遵循公安部相关文件要求和的相关文件要求，所用的标准必须是其最新版本；如果这些标准内容矛盾时，应按最高标准的条款执行或按双方商定的标准执行。</w:t>
      </w:r>
    </w:p>
    <w:p>
      <w:pPr>
        <w:adjustRightInd w:val="0"/>
        <w:snapToGrid w:val="0"/>
        <w:spacing w:before="120" w:beforeLines="50" w:after="120" w:afterLines="50" w:line="360" w:lineRule="auto"/>
        <w:ind w:firstLine="480" w:firstLineChars="200"/>
        <w:jc w:val="both"/>
      </w:pPr>
      <w:bookmarkStart w:id="3" w:name="_Toc77760955"/>
      <w:bookmarkStart w:id="4" w:name="_Toc83482791"/>
      <w:bookmarkStart w:id="5" w:name="_Toc77761128"/>
      <w:bookmarkStart w:id="6" w:name="_Toc77760877"/>
      <w:bookmarkStart w:id="7" w:name="_Toc77760638"/>
      <w:bookmarkStart w:id="8" w:name="_Toc157912713"/>
      <w:bookmarkStart w:id="9" w:name="_Toc311015399"/>
      <w:bookmarkStart w:id="10" w:name="_Toc303532071"/>
      <w:bookmarkStart w:id="11" w:name="_Toc77760799"/>
      <w:r>
        <w:rPr>
          <w:rFonts w:hint="default" w:ascii="仿宋" w:hAnsi="仿宋" w:eastAsia="仿宋" w:cs="Times New Roman"/>
          <w:b w:val="0"/>
          <w:bCs w:val="0"/>
          <w:i w:val="0"/>
          <w:iCs w:val="0"/>
          <w:color w:val="auto"/>
          <w:kern w:val="2"/>
          <w:sz w:val="24"/>
          <w:szCs w:val="24"/>
          <w:highlight w:val="none"/>
          <w:vertAlign w:val="baseline"/>
          <w:lang w:val="en-US" w:eastAsia="zh-CN"/>
        </w:rPr>
        <w:t>《中华人民共和国网络安全法》</w:t>
      </w:r>
    </w:p>
    <w:p>
      <w:pPr>
        <w:adjustRightInd w:val="0"/>
        <w:snapToGrid w:val="0"/>
        <w:spacing w:before="120" w:beforeLines="50" w:after="120" w:afterLines="50" w:line="360" w:lineRule="auto"/>
        <w:ind w:firstLine="480" w:firstLineChars="200"/>
        <w:jc w:val="both"/>
      </w:pPr>
      <w:r>
        <w:rPr>
          <w:rFonts w:hint="default" w:ascii="仿宋" w:hAnsi="仿宋" w:eastAsia="仿宋" w:cs="Times New Roman"/>
          <w:b w:val="0"/>
          <w:bCs w:val="0"/>
          <w:i w:val="0"/>
          <w:iCs w:val="0"/>
          <w:color w:val="auto"/>
          <w:kern w:val="2"/>
          <w:sz w:val="24"/>
          <w:szCs w:val="24"/>
          <w:highlight w:val="none"/>
          <w:vertAlign w:val="baseline"/>
          <w:lang w:val="en-US" w:eastAsia="zh-CN"/>
        </w:rPr>
        <w:t>《信息安全等级保护管理办法》（公通字[2007]43号）</w:t>
      </w:r>
    </w:p>
    <w:p>
      <w:pPr>
        <w:adjustRightInd w:val="0"/>
        <w:snapToGrid w:val="0"/>
        <w:spacing w:before="120" w:beforeLines="50" w:after="120" w:afterLines="50" w:line="360" w:lineRule="auto"/>
        <w:ind w:firstLine="480" w:firstLineChars="200"/>
        <w:jc w:val="both"/>
      </w:pPr>
      <w:r>
        <w:rPr>
          <w:rFonts w:hint="default" w:ascii="仿宋" w:hAnsi="仿宋" w:eastAsia="仿宋" w:cs="Times New Roman"/>
          <w:b w:val="0"/>
          <w:bCs w:val="0"/>
          <w:i w:val="0"/>
          <w:iCs w:val="0"/>
          <w:color w:val="auto"/>
          <w:kern w:val="2"/>
          <w:sz w:val="24"/>
          <w:szCs w:val="24"/>
          <w:highlight w:val="none"/>
          <w:vertAlign w:val="baseline"/>
          <w:lang w:val="en-US" w:eastAsia="zh-CN"/>
        </w:rPr>
        <w:t>《GB/T22239-2019信息安全技术 网络安全等级保护基本要求》</w:t>
      </w:r>
    </w:p>
    <w:p>
      <w:pPr>
        <w:adjustRightInd w:val="0"/>
        <w:snapToGrid w:val="0"/>
        <w:spacing w:before="120" w:beforeLines="50" w:after="120" w:afterLines="50" w:line="360" w:lineRule="auto"/>
        <w:ind w:firstLine="480" w:firstLineChars="200"/>
        <w:jc w:val="both"/>
      </w:pPr>
      <w:r>
        <w:rPr>
          <w:rFonts w:hint="default" w:ascii="仿宋" w:hAnsi="仿宋" w:eastAsia="仿宋" w:cs="Times New Roman"/>
          <w:b w:val="0"/>
          <w:bCs w:val="0"/>
          <w:i w:val="0"/>
          <w:iCs w:val="0"/>
          <w:color w:val="auto"/>
          <w:kern w:val="2"/>
          <w:sz w:val="24"/>
          <w:szCs w:val="24"/>
          <w:highlight w:val="none"/>
          <w:vertAlign w:val="baseline"/>
          <w:lang w:val="en-US" w:eastAsia="zh-CN"/>
        </w:rPr>
        <w:t>《GB/T22240-2019信息安全技术 网络安全等级保护定级指南》</w:t>
      </w:r>
    </w:p>
    <w:p>
      <w:pPr>
        <w:adjustRightInd w:val="0"/>
        <w:snapToGrid w:val="0"/>
        <w:spacing w:before="120" w:beforeLines="50" w:after="120" w:afterLines="5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《GB/T25058-2010信息安全技术 信息系统安全等级保护实施指南》</w:t>
      </w:r>
    </w:p>
    <w:p>
      <w:pPr>
        <w:adjustRightInd w:val="0"/>
        <w:snapToGrid w:val="0"/>
        <w:spacing w:before="120" w:beforeLines="50" w:after="120" w:afterLines="5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《GB/T28448-2019信息安全技术 网络安全等级保护测评要求》</w:t>
      </w:r>
    </w:p>
    <w:p>
      <w:pPr>
        <w:adjustRightInd w:val="0"/>
        <w:snapToGrid w:val="0"/>
        <w:spacing w:before="120" w:beforeLines="50" w:after="120" w:afterLines="5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《GB/T28449-2018信息安全技术</w:t>
      </w:r>
      <w:bookmarkEnd w:id="3"/>
      <w:bookmarkEnd w:id="4"/>
      <w:bookmarkEnd w:id="5"/>
      <w:bookmarkEnd w:id="6"/>
      <w:bookmarkEnd w:id="7"/>
      <w:bookmarkEnd w:id="8"/>
      <w:bookmarkEnd w:id="9"/>
      <w:bookmarkEnd w:id="10"/>
      <w:bookmarkEnd w:id="11"/>
      <w:r>
        <w:rPr>
          <w:rFonts w:hint="default" w:ascii="仿宋" w:hAnsi="仿宋" w:eastAsia="仿宋" w:cs="宋体"/>
          <w:b w:val="0"/>
          <w:bCs w:val="0"/>
          <w:i w:val="0"/>
          <w:iCs w:val="0"/>
          <w:color w:val="auto"/>
          <w:kern w:val="2"/>
          <w:sz w:val="24"/>
          <w:szCs w:val="24"/>
          <w:highlight w:val="none"/>
          <w:vertAlign w:val="baseline"/>
          <w:lang w:val="en-US" w:eastAsia="zh-CN"/>
        </w:rPr>
        <w:t xml:space="preserve"> 网络安全等级保护测评过程指南》</w:t>
      </w:r>
      <w:bookmarkStart w:id="12" w:name="_Toc9865045"/>
    </w:p>
    <w:p>
      <w:pPr>
        <w:adjustRightInd w:val="0"/>
        <w:snapToGrid w:val="0"/>
        <w:spacing w:before="120" w:beforeLines="50" w:after="120" w:afterLines="50" w:line="360" w:lineRule="auto"/>
        <w:ind w:firstLine="482" w:firstLineChars="200"/>
        <w:jc w:val="both"/>
      </w:pPr>
      <w:r>
        <w:rPr>
          <w:rFonts w:hint="default" w:ascii="仿宋" w:hAnsi="仿宋" w:eastAsia="仿宋" w:cs="Times New Roman"/>
          <w:b/>
          <w:bCs/>
          <w:i w:val="0"/>
          <w:iCs w:val="0"/>
          <w:color w:val="auto"/>
          <w:kern w:val="2"/>
          <w:sz w:val="24"/>
          <w:szCs w:val="24"/>
          <w:highlight w:val="none"/>
          <w:vertAlign w:val="baseline"/>
          <w:lang w:val="en-US" w:eastAsia="zh-CN"/>
        </w:rPr>
        <w:t>2、测评范围</w:t>
      </w:r>
      <w:bookmarkEnd w:id="12"/>
    </w:p>
    <w:tbl>
      <w:tblPr>
        <w:tblStyle w:val="11"/>
        <w:tblW w:w="8306" w:type="dxa"/>
        <w:tblInd w:w="0" w:type="dxa"/>
        <w:tblLayout w:type="autofit"/>
        <w:tblCellMar>
          <w:top w:w="0" w:type="dxa"/>
          <w:left w:w="108" w:type="dxa"/>
          <w:bottom w:w="0" w:type="dxa"/>
          <w:right w:w="108" w:type="dxa"/>
        </w:tblCellMar>
      </w:tblPr>
      <w:tblGrid>
        <w:gridCol w:w="2880"/>
        <w:gridCol w:w="2211"/>
        <w:gridCol w:w="3215"/>
      </w:tblGrid>
      <w:tr>
        <w:tblPrEx>
          <w:tblCellMar>
            <w:top w:w="0" w:type="dxa"/>
            <w:left w:w="108" w:type="dxa"/>
            <w:bottom w:w="0" w:type="dxa"/>
            <w:right w:w="108" w:type="dxa"/>
          </w:tblCellMar>
        </w:tblPrEx>
        <w:tc>
          <w:tcPr>
            <w:tcW w:w="3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bCs/>
                <w:i w:val="0"/>
                <w:iCs w:val="0"/>
                <w:color w:val="auto"/>
                <w:kern w:val="2"/>
                <w:sz w:val="24"/>
                <w:szCs w:val="24"/>
                <w:highlight w:val="none"/>
                <w:vertAlign w:val="baseline"/>
                <w:lang w:val="en-US" w:eastAsia="zh-CN"/>
              </w:rPr>
              <w:t>系统名称</w:t>
            </w:r>
          </w:p>
        </w:tc>
        <w:tc>
          <w:tcPr>
            <w:tcW w:w="24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bCs/>
                <w:i w:val="0"/>
                <w:iCs w:val="0"/>
                <w:color w:val="auto"/>
                <w:kern w:val="2"/>
                <w:sz w:val="24"/>
                <w:szCs w:val="24"/>
                <w:highlight w:val="none"/>
                <w:vertAlign w:val="baseline"/>
                <w:lang w:val="en-US" w:eastAsia="zh-CN"/>
              </w:rPr>
              <w:t>安全保护等级</w:t>
            </w:r>
          </w:p>
        </w:tc>
        <w:tc>
          <w:tcPr>
            <w:tcW w:w="3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bCs/>
                <w:i w:val="0"/>
                <w:iCs w:val="0"/>
                <w:color w:val="auto"/>
                <w:kern w:val="2"/>
                <w:sz w:val="24"/>
                <w:szCs w:val="24"/>
                <w:highlight w:val="none"/>
                <w:vertAlign w:val="baseline"/>
                <w:lang w:val="en-US" w:eastAsia="zh-CN"/>
              </w:rPr>
              <w:t>测评地点</w:t>
            </w:r>
          </w:p>
        </w:tc>
      </w:tr>
      <w:tr>
        <w:tblPrEx>
          <w:tblCellMar>
            <w:top w:w="0" w:type="dxa"/>
            <w:left w:w="108" w:type="dxa"/>
            <w:bottom w:w="0" w:type="dxa"/>
            <w:right w:w="108" w:type="dxa"/>
          </w:tblCellMar>
        </w:tblPrEx>
        <w:tc>
          <w:tcPr>
            <w:tcW w:w="3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rPr>
                <w:rFonts w:hint="eastAsia" w:eastAsiaTheme="minorEastAsia"/>
                <w:lang w:eastAsia="zh-CN"/>
              </w:rPr>
            </w:pPr>
            <w:r>
              <w:rPr>
                <w:rFonts w:hint="eastAsia"/>
                <w:lang w:eastAsia="zh-CN"/>
              </w:rPr>
              <w:t>集成平台</w:t>
            </w:r>
          </w:p>
        </w:tc>
        <w:tc>
          <w:tcPr>
            <w:tcW w:w="24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rPr>
                <w:rFonts w:hint="eastAsia" w:eastAsiaTheme="minorEastAsia"/>
                <w:lang w:eastAsia="zh-CN"/>
              </w:rPr>
            </w:pPr>
            <w:r>
              <w:rPr>
                <w:rFonts w:hint="eastAsia"/>
                <w:lang w:eastAsia="zh-CN"/>
              </w:rPr>
              <w:t>三级</w:t>
            </w:r>
          </w:p>
        </w:tc>
        <w:tc>
          <w:tcPr>
            <w:tcW w:w="3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eastAsia" w:ascii="仿宋" w:hAnsi="仿宋" w:eastAsia="仿宋" w:cs="Times New Roman"/>
                <w:b w:val="0"/>
                <w:bCs w:val="0"/>
                <w:i w:val="0"/>
                <w:iCs w:val="0"/>
                <w:color w:val="auto"/>
                <w:kern w:val="2"/>
                <w:sz w:val="24"/>
                <w:szCs w:val="24"/>
                <w:highlight w:val="none"/>
                <w:vertAlign w:val="baseline"/>
                <w:lang w:val="en-US" w:eastAsia="zh-CN"/>
              </w:rPr>
              <w:t>自贡市第三人民医院</w:t>
            </w:r>
          </w:p>
        </w:tc>
      </w:tr>
      <w:tr>
        <w:tblPrEx>
          <w:tblCellMar>
            <w:top w:w="0" w:type="dxa"/>
            <w:left w:w="108" w:type="dxa"/>
            <w:bottom w:w="0" w:type="dxa"/>
            <w:right w:w="108" w:type="dxa"/>
          </w:tblCellMar>
        </w:tblPrEx>
        <w:tc>
          <w:tcPr>
            <w:tcW w:w="3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rPr>
                <w:rFonts w:hint="default" w:eastAsiaTheme="minorEastAsia"/>
                <w:lang w:val="en-US" w:eastAsia="zh-CN"/>
              </w:rPr>
            </w:pPr>
            <w:r>
              <w:rPr>
                <w:rFonts w:hint="eastAsia"/>
                <w:lang w:val="en-US" w:eastAsia="zh-CN"/>
              </w:rPr>
              <w:t>PACS</w:t>
            </w:r>
          </w:p>
        </w:tc>
        <w:tc>
          <w:tcPr>
            <w:tcW w:w="24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eastAsia"/>
                <w:lang w:eastAsia="zh-CN"/>
              </w:rPr>
              <w:t>三级</w:t>
            </w:r>
          </w:p>
        </w:tc>
        <w:tc>
          <w:tcPr>
            <w:tcW w:w="3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eastAsia" w:ascii="仿宋" w:hAnsi="仿宋" w:eastAsia="仿宋" w:cs="Times New Roman"/>
                <w:b w:val="0"/>
                <w:bCs w:val="0"/>
                <w:i w:val="0"/>
                <w:iCs w:val="0"/>
                <w:color w:val="auto"/>
                <w:kern w:val="2"/>
                <w:sz w:val="24"/>
                <w:szCs w:val="24"/>
                <w:highlight w:val="none"/>
                <w:vertAlign w:val="baseline"/>
                <w:lang w:val="en-US" w:eastAsia="zh-CN"/>
              </w:rPr>
              <w:t>自贡市第三人民医院</w:t>
            </w:r>
          </w:p>
        </w:tc>
      </w:tr>
      <w:tr>
        <w:tblPrEx>
          <w:tblCellMar>
            <w:top w:w="0" w:type="dxa"/>
            <w:left w:w="108" w:type="dxa"/>
            <w:bottom w:w="0" w:type="dxa"/>
            <w:right w:w="108" w:type="dxa"/>
          </w:tblCellMar>
        </w:tblPrEx>
        <w:tc>
          <w:tcPr>
            <w:tcW w:w="3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rPr>
                <w:rFonts w:hint="eastAsia" w:eastAsiaTheme="minorEastAsia"/>
                <w:lang w:eastAsia="zh-CN"/>
              </w:rPr>
            </w:pPr>
            <w:r>
              <w:rPr>
                <w:rFonts w:hint="eastAsia"/>
                <w:lang w:eastAsia="zh-CN"/>
              </w:rPr>
              <w:t>互联网医院信息系统</w:t>
            </w:r>
          </w:p>
        </w:tc>
        <w:tc>
          <w:tcPr>
            <w:tcW w:w="24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eastAsia"/>
                <w:lang w:eastAsia="zh-CN"/>
              </w:rPr>
              <w:t>三级</w:t>
            </w:r>
          </w:p>
        </w:tc>
        <w:tc>
          <w:tcPr>
            <w:tcW w:w="3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eastAsia" w:ascii="仿宋" w:hAnsi="仿宋" w:eastAsia="仿宋" w:cs="Times New Roman"/>
                <w:b w:val="0"/>
                <w:bCs w:val="0"/>
                <w:i w:val="0"/>
                <w:iCs w:val="0"/>
                <w:color w:val="auto"/>
                <w:kern w:val="2"/>
                <w:sz w:val="24"/>
                <w:szCs w:val="24"/>
                <w:highlight w:val="none"/>
                <w:vertAlign w:val="baseline"/>
                <w:lang w:val="en-US" w:eastAsia="zh-CN"/>
              </w:rPr>
              <w:t>自贡市第三人民医院</w:t>
            </w:r>
          </w:p>
        </w:tc>
      </w:tr>
    </w:tbl>
    <w:p>
      <w:pPr>
        <w:tabs>
          <w:tab w:val="left" w:pos="560"/>
          <w:tab w:val="left" w:pos="720"/>
        </w:tabs>
        <w:adjustRightInd w:val="0"/>
        <w:snapToGrid w:val="0"/>
        <w:spacing w:before="240" w:beforeLines="100" w:after="240" w:afterLines="100" w:line="360" w:lineRule="auto"/>
        <w:ind w:firstLine="482" w:firstLineChars="200"/>
        <w:jc w:val="both"/>
      </w:pPr>
      <w:bookmarkStart w:id="13" w:name="_Toc9865046"/>
      <w:r>
        <w:rPr>
          <w:rFonts w:hint="default" w:ascii="仿宋" w:hAnsi="仿宋" w:eastAsia="仿宋" w:cs="Times New Roman"/>
          <w:b/>
          <w:bCs/>
          <w:i w:val="0"/>
          <w:iCs w:val="0"/>
          <w:color w:val="auto"/>
          <w:kern w:val="2"/>
          <w:sz w:val="24"/>
          <w:szCs w:val="24"/>
          <w:highlight w:val="none"/>
          <w:vertAlign w:val="baseline"/>
          <w:lang w:val="en-US" w:eastAsia="zh-CN"/>
        </w:rPr>
        <w:t>3、技术规范</w:t>
      </w:r>
      <w:bookmarkEnd w:id="13"/>
      <w:bookmarkStart w:id="14" w:name="_Toc9865047"/>
    </w:p>
    <w:p>
      <w:pPr>
        <w:tabs>
          <w:tab w:val="left" w:pos="560"/>
          <w:tab w:val="left" w:pos="720"/>
        </w:tabs>
        <w:adjustRightInd w:val="0"/>
        <w:snapToGrid w:val="0"/>
        <w:spacing w:before="240" w:beforeLines="100" w:after="240" w:afterLines="100" w:line="360" w:lineRule="auto"/>
        <w:ind w:firstLine="482" w:firstLineChars="200"/>
        <w:jc w:val="both"/>
      </w:pPr>
      <w:r>
        <w:rPr>
          <w:rFonts w:hint="default" w:ascii="仿宋" w:hAnsi="仿宋" w:eastAsia="仿宋" w:cs="Times New Roman"/>
          <w:b/>
          <w:bCs/>
          <w:i w:val="0"/>
          <w:iCs w:val="0"/>
          <w:color w:val="auto"/>
          <w:kern w:val="2"/>
          <w:sz w:val="24"/>
          <w:szCs w:val="24"/>
          <w:highlight w:val="none"/>
          <w:vertAlign w:val="baseline"/>
          <w:lang w:val="en-US" w:eastAsia="zh-CN"/>
        </w:rPr>
        <w:t>3.1、测评及评估原则</w:t>
      </w:r>
      <w:bookmarkEnd w:id="14"/>
    </w:p>
    <w:p>
      <w:pPr>
        <w:adjustRightInd w:val="0"/>
        <w:snapToGrid w:val="0"/>
        <w:spacing w:before="240" w:beforeLines="100" w:after="240" w:afterLines="100" w:line="360" w:lineRule="auto"/>
        <w:ind w:firstLine="482" w:firstLineChars="200"/>
        <w:jc w:val="both"/>
      </w:pPr>
      <w:r>
        <w:rPr>
          <w:rFonts w:hint="default" w:ascii="仿宋" w:hAnsi="仿宋" w:eastAsia="仿宋" w:cs="宋体"/>
          <w:b/>
          <w:bCs/>
          <w:i w:val="0"/>
          <w:iCs w:val="0"/>
          <w:color w:val="auto"/>
          <w:kern w:val="2"/>
          <w:sz w:val="24"/>
          <w:szCs w:val="24"/>
          <w:highlight w:val="none"/>
          <w:vertAlign w:val="baseline"/>
          <w:lang w:val="en-US" w:eastAsia="zh-CN"/>
        </w:rPr>
        <w:t>保密性原则：</w:t>
      </w:r>
      <w:r>
        <w:rPr>
          <w:rFonts w:hint="default" w:ascii="仿宋" w:hAnsi="仿宋" w:eastAsia="仿宋" w:cs="宋体"/>
          <w:b w:val="0"/>
          <w:bCs w:val="0"/>
          <w:i w:val="0"/>
          <w:iCs w:val="0"/>
          <w:color w:val="auto"/>
          <w:kern w:val="2"/>
          <w:sz w:val="24"/>
          <w:szCs w:val="24"/>
          <w:highlight w:val="none"/>
          <w:vertAlign w:val="baseline"/>
          <w:lang w:val="en-US" w:eastAsia="zh-CN"/>
        </w:rPr>
        <w:t>供应商应签订保密协议，对测评的过程数据和结果数据严格保密，未经授权不得泄露给任何单位和个人，不得利用此数据侵害的权益，否则有权追究的责任。</w:t>
      </w:r>
    </w:p>
    <w:p>
      <w:pPr>
        <w:adjustRightInd w:val="0"/>
        <w:snapToGrid w:val="0"/>
        <w:spacing w:before="240" w:beforeLines="100" w:after="240" w:afterLines="100" w:line="360" w:lineRule="auto"/>
        <w:ind w:firstLine="482" w:firstLineChars="200"/>
        <w:jc w:val="both"/>
      </w:pPr>
      <w:r>
        <w:rPr>
          <w:rFonts w:hint="default" w:ascii="仿宋" w:hAnsi="仿宋" w:eastAsia="仿宋" w:cs="宋体"/>
          <w:b/>
          <w:bCs/>
          <w:i w:val="0"/>
          <w:iCs w:val="0"/>
          <w:color w:val="auto"/>
          <w:kern w:val="2"/>
          <w:sz w:val="24"/>
          <w:szCs w:val="24"/>
          <w:highlight w:val="none"/>
          <w:vertAlign w:val="baseline"/>
          <w:lang w:val="en-US" w:eastAsia="zh-CN"/>
        </w:rPr>
        <w:t>标准性原则：</w:t>
      </w:r>
      <w:r>
        <w:rPr>
          <w:rFonts w:hint="default" w:ascii="仿宋" w:hAnsi="仿宋" w:eastAsia="仿宋" w:cs="宋体"/>
          <w:b w:val="0"/>
          <w:bCs w:val="0"/>
          <w:i w:val="0"/>
          <w:iCs w:val="0"/>
          <w:color w:val="auto"/>
          <w:kern w:val="2"/>
          <w:sz w:val="24"/>
          <w:szCs w:val="24"/>
          <w:highlight w:val="none"/>
          <w:vertAlign w:val="baseline"/>
          <w:lang w:val="en-US" w:eastAsia="zh-CN"/>
        </w:rPr>
        <w:t>测评及评估方案的设计与实施应依据国家的相关标准进行。</w:t>
      </w:r>
    </w:p>
    <w:p>
      <w:pPr>
        <w:adjustRightInd w:val="0"/>
        <w:snapToGrid w:val="0"/>
        <w:spacing w:before="240" w:beforeLines="100" w:after="240" w:afterLines="100" w:line="360" w:lineRule="auto"/>
        <w:ind w:firstLine="482" w:firstLineChars="200"/>
        <w:jc w:val="both"/>
      </w:pPr>
      <w:r>
        <w:rPr>
          <w:rFonts w:hint="default" w:ascii="仿宋" w:hAnsi="仿宋" w:eastAsia="仿宋" w:cs="宋体"/>
          <w:b/>
          <w:bCs/>
          <w:i w:val="0"/>
          <w:iCs w:val="0"/>
          <w:color w:val="auto"/>
          <w:kern w:val="2"/>
          <w:sz w:val="24"/>
          <w:szCs w:val="24"/>
          <w:highlight w:val="none"/>
          <w:vertAlign w:val="baseline"/>
          <w:lang w:val="en-US" w:eastAsia="zh-CN"/>
        </w:rPr>
        <w:t>规范性原则：</w:t>
      </w:r>
      <w:r>
        <w:rPr>
          <w:rFonts w:hint="default" w:ascii="仿宋" w:hAnsi="仿宋" w:eastAsia="仿宋" w:cs="宋体"/>
          <w:b w:val="0"/>
          <w:bCs w:val="0"/>
          <w:i w:val="0"/>
          <w:iCs w:val="0"/>
          <w:color w:val="auto"/>
          <w:kern w:val="2"/>
          <w:sz w:val="24"/>
          <w:szCs w:val="24"/>
          <w:highlight w:val="none"/>
          <w:vertAlign w:val="baseline"/>
          <w:lang w:val="en-US" w:eastAsia="zh-CN"/>
        </w:rPr>
        <w:t>供应商工作中的过程和文档，应具有规范性，便于项目跟踪和控制。</w:t>
      </w:r>
    </w:p>
    <w:p>
      <w:pPr>
        <w:adjustRightInd w:val="0"/>
        <w:snapToGrid w:val="0"/>
        <w:spacing w:before="240" w:beforeLines="100" w:after="240" w:afterLines="100" w:line="360" w:lineRule="auto"/>
        <w:ind w:firstLine="482" w:firstLineChars="200"/>
        <w:jc w:val="both"/>
      </w:pPr>
      <w:r>
        <w:rPr>
          <w:rFonts w:hint="default" w:ascii="仿宋" w:hAnsi="仿宋" w:eastAsia="仿宋" w:cs="宋体"/>
          <w:b/>
          <w:bCs/>
          <w:i w:val="0"/>
          <w:iCs w:val="0"/>
          <w:color w:val="auto"/>
          <w:kern w:val="2"/>
          <w:sz w:val="24"/>
          <w:szCs w:val="24"/>
          <w:highlight w:val="none"/>
          <w:vertAlign w:val="baseline"/>
          <w:lang w:val="en-US" w:eastAsia="zh-CN"/>
        </w:rPr>
        <w:t>可控性原则：</w:t>
      </w:r>
      <w:r>
        <w:rPr>
          <w:rFonts w:hint="default" w:ascii="仿宋" w:hAnsi="仿宋" w:eastAsia="仿宋" w:cs="宋体"/>
          <w:b w:val="0"/>
          <w:bCs w:val="0"/>
          <w:i w:val="0"/>
          <w:iCs w:val="0"/>
          <w:color w:val="auto"/>
          <w:kern w:val="2"/>
          <w:sz w:val="24"/>
          <w:szCs w:val="24"/>
          <w:highlight w:val="none"/>
          <w:vertAlign w:val="baseline"/>
          <w:lang w:val="en-US" w:eastAsia="zh-CN"/>
        </w:rPr>
        <w:t>项目的进度应符合进度安排，保证对测评工作的可控性。</w:t>
      </w:r>
    </w:p>
    <w:p>
      <w:pPr>
        <w:adjustRightInd w:val="0"/>
        <w:snapToGrid w:val="0"/>
        <w:spacing w:before="240" w:beforeLines="100" w:after="240" w:afterLines="100" w:line="360" w:lineRule="auto"/>
        <w:ind w:firstLine="482" w:firstLineChars="200"/>
        <w:jc w:val="both"/>
      </w:pPr>
      <w:r>
        <w:rPr>
          <w:rFonts w:hint="default" w:ascii="仿宋" w:hAnsi="仿宋" w:eastAsia="仿宋" w:cs="宋体"/>
          <w:b/>
          <w:bCs/>
          <w:i w:val="0"/>
          <w:iCs w:val="0"/>
          <w:color w:val="auto"/>
          <w:kern w:val="2"/>
          <w:sz w:val="24"/>
          <w:szCs w:val="24"/>
          <w:highlight w:val="none"/>
          <w:vertAlign w:val="baseline"/>
          <w:lang w:val="en-US" w:eastAsia="zh-CN"/>
        </w:rPr>
        <w:t>整体性原则</w:t>
      </w:r>
      <w:r>
        <w:rPr>
          <w:rFonts w:hint="default" w:ascii="仿宋" w:hAnsi="仿宋" w:eastAsia="仿宋" w:cs="宋体"/>
          <w:b w:val="0"/>
          <w:bCs w:val="0"/>
          <w:i w:val="0"/>
          <w:iCs w:val="0"/>
          <w:color w:val="auto"/>
          <w:kern w:val="2"/>
          <w:sz w:val="24"/>
          <w:szCs w:val="24"/>
          <w:highlight w:val="none"/>
          <w:vertAlign w:val="baseline"/>
          <w:lang w:val="en-US" w:eastAsia="zh-CN"/>
        </w:rPr>
        <w:t>：测评及评估的范围和内容应系统、全面、规范，满足等级保护的相关基本要求。</w:t>
      </w:r>
    </w:p>
    <w:p>
      <w:pPr>
        <w:adjustRightInd w:val="0"/>
        <w:snapToGrid w:val="0"/>
        <w:spacing w:before="240" w:beforeLines="100" w:after="240" w:afterLines="100" w:line="360" w:lineRule="auto"/>
        <w:ind w:firstLine="482" w:firstLineChars="200"/>
        <w:jc w:val="both"/>
      </w:pPr>
      <w:r>
        <w:rPr>
          <w:rFonts w:hint="default" w:ascii="仿宋" w:hAnsi="仿宋" w:eastAsia="仿宋" w:cs="宋体"/>
          <w:b/>
          <w:bCs/>
          <w:i w:val="0"/>
          <w:iCs w:val="0"/>
          <w:color w:val="auto"/>
          <w:kern w:val="2"/>
          <w:sz w:val="24"/>
          <w:szCs w:val="24"/>
          <w:highlight w:val="none"/>
          <w:vertAlign w:val="baseline"/>
          <w:lang w:val="en-US" w:eastAsia="zh-CN"/>
        </w:rPr>
        <w:t>最小影响原则：</w:t>
      </w:r>
      <w:r>
        <w:rPr>
          <w:rFonts w:hint="default" w:ascii="仿宋" w:hAnsi="仿宋" w:eastAsia="仿宋" w:cs="宋体"/>
          <w:b w:val="0"/>
          <w:bCs w:val="0"/>
          <w:i w:val="0"/>
          <w:iCs w:val="0"/>
          <w:color w:val="auto"/>
          <w:kern w:val="2"/>
          <w:sz w:val="24"/>
          <w:szCs w:val="24"/>
          <w:highlight w:val="none"/>
          <w:vertAlign w:val="baseline"/>
          <w:lang w:val="en-US" w:eastAsia="zh-CN"/>
        </w:rPr>
        <w:t>技术测评及评估工作应尽可能小的影响在线系统和网络的正常运行，不能对现有运行系统造成影响。在线测评及评估应在许可的条件下进行。</w:t>
      </w:r>
      <w:bookmarkStart w:id="15" w:name="_Toc9865048"/>
    </w:p>
    <w:p>
      <w:pPr>
        <w:adjustRightInd w:val="0"/>
        <w:snapToGrid w:val="0"/>
        <w:spacing w:before="240" w:beforeLines="100" w:after="240" w:afterLines="100" w:line="360" w:lineRule="auto"/>
        <w:ind w:firstLine="482" w:firstLineChars="200"/>
        <w:jc w:val="both"/>
      </w:pPr>
      <w:r>
        <w:rPr>
          <w:rFonts w:hint="default" w:ascii="仿宋" w:hAnsi="仿宋" w:eastAsia="仿宋" w:cs="Times New Roman"/>
          <w:b/>
          <w:bCs/>
          <w:i w:val="0"/>
          <w:iCs w:val="0"/>
          <w:color w:val="auto"/>
          <w:kern w:val="2"/>
          <w:sz w:val="24"/>
          <w:szCs w:val="24"/>
          <w:highlight w:val="none"/>
          <w:vertAlign w:val="baseline"/>
          <w:lang w:val="en-US" w:eastAsia="zh-CN"/>
        </w:rPr>
        <w:t>3.2、实施要求</w:t>
      </w:r>
      <w:bookmarkEnd w:id="15"/>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应详细描述信息系统安全等级保护测评的整体实施方案，包括项目概述、等保测评方案、项目实施方案、时间安排、阶段性文档提交和验收标准等。应详细描述测评及评估人员的组成、资质及各自职责的划分。应配置经验丰富的测评及评估人员进行信息系统安全等级保护测评工作。</w:t>
      </w:r>
      <w:bookmarkStart w:id="16" w:name="_Toc9865049"/>
    </w:p>
    <w:p>
      <w:pPr>
        <w:adjustRightInd w:val="0"/>
        <w:snapToGrid w:val="0"/>
        <w:spacing w:before="240" w:beforeLines="100" w:after="240" w:afterLines="100" w:line="360" w:lineRule="auto"/>
        <w:ind w:firstLine="482" w:firstLineChars="200"/>
        <w:jc w:val="both"/>
      </w:pPr>
      <w:r>
        <w:rPr>
          <w:rFonts w:hint="default" w:ascii="仿宋" w:hAnsi="仿宋" w:eastAsia="仿宋" w:cs="Times New Roman"/>
          <w:b/>
          <w:bCs/>
          <w:i w:val="0"/>
          <w:iCs w:val="0"/>
          <w:color w:val="auto"/>
          <w:kern w:val="2"/>
          <w:sz w:val="24"/>
          <w:szCs w:val="24"/>
          <w:highlight w:val="none"/>
          <w:vertAlign w:val="baseline"/>
          <w:lang w:val="en-US" w:eastAsia="zh-CN"/>
        </w:rPr>
        <w:t>3.3、测评及评估方法</w:t>
      </w:r>
      <w:bookmarkEnd w:id="16"/>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测评及评估方法包括访谈、检查和测试三种方法，可细化为文档审查、配置检查、工具测试和实地察看等多种方法。</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如需对系统安全等级保护测评实施过程中采用在线测评工具，各种工具软件由供应商推荐，经确认后由供应商提供并在工作中使用。</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安全测评工具软件运行可能需要的硬件平台（如笔记本电脑、PC、工作站等）和操作系统软件等由供应商推荐，经确认后由供应商提供并在测评中使用。</w:t>
      </w:r>
      <w:bookmarkStart w:id="17" w:name="_Toc9865050"/>
    </w:p>
    <w:p>
      <w:pPr>
        <w:adjustRightInd w:val="0"/>
        <w:snapToGrid w:val="0"/>
        <w:spacing w:before="240" w:beforeLines="100" w:after="240" w:afterLines="100" w:line="360" w:lineRule="auto"/>
        <w:ind w:firstLine="482" w:firstLineChars="200"/>
        <w:jc w:val="both"/>
      </w:pPr>
      <w:r>
        <w:rPr>
          <w:rFonts w:hint="default" w:ascii="仿宋" w:hAnsi="仿宋" w:eastAsia="仿宋" w:cs="Times New Roman"/>
          <w:b/>
          <w:bCs/>
          <w:i w:val="0"/>
          <w:iCs w:val="0"/>
          <w:color w:val="auto"/>
          <w:kern w:val="2"/>
          <w:sz w:val="24"/>
          <w:szCs w:val="24"/>
          <w:highlight w:val="none"/>
          <w:vertAlign w:val="baseline"/>
          <w:lang w:val="en-US" w:eastAsia="zh-CN"/>
        </w:rPr>
        <w:t>3.4、等级保护测评内容</w:t>
      </w:r>
      <w:bookmarkEnd w:id="17"/>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根据国家等级保护相关标准，本次项目的安全等级保护测评应包括以下内容：</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安全技术测评：包括安全物理环境、安全通信网络、安全区域边界、安全计算环境和安全管理中心等五个方面的安全测评；</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安全管理测评：包括安全管理制度、安全管理机构、安全管理人员、安全建设管理和安全运维管理等五个方面的安全测评。</w:t>
      </w:r>
    </w:p>
    <w:p>
      <w:pPr>
        <w:adjustRightInd w:val="0"/>
        <w:snapToGrid w:val="0"/>
        <w:spacing w:before="240" w:beforeLines="100" w:after="240" w:afterLines="100" w:line="360" w:lineRule="auto"/>
        <w:ind w:firstLine="482" w:firstLineChars="200"/>
        <w:jc w:val="both"/>
      </w:pPr>
      <w:r>
        <w:rPr>
          <w:rFonts w:hint="default" w:ascii="仿宋" w:hAnsi="仿宋" w:eastAsia="仿宋" w:cs="Times New Roman"/>
          <w:b/>
          <w:bCs/>
          <w:i w:val="0"/>
          <w:iCs w:val="0"/>
          <w:color w:val="000000"/>
          <w:kern w:val="2"/>
          <w:sz w:val="24"/>
          <w:szCs w:val="24"/>
          <w:highlight w:val="none"/>
          <w:vertAlign w:val="baseline"/>
          <w:lang w:val="en-US" w:eastAsia="zh-CN"/>
        </w:rPr>
        <w:t>3.4.1、安全物理环境</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物理环境针对物理机房提出了安全控制要求，主要对象为物理环境、物理设备和物理设施等；涉及的安全控制点包括物理位置的选择、物理访问控制、防盗窃和防破坏、防雷击、防火、防水和防潮、防静电、温湿度控制、电力供应、安全等级保和电磁防护。</w:t>
      </w:r>
    </w:p>
    <w:p>
      <w:pPr>
        <w:tabs>
          <w:tab w:val="left" w:pos="860"/>
          <w:tab w:val="left" w:pos="960"/>
        </w:tabs>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3.4.2、安全通信网络</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安全通信网络针对网络架构和通信传输提岀了安全控制要求。主要对象为广域网、城域网、局域网的通信传输以及网络架构等；涉及的安全控制点包括网络架构、通信传输和可信验证。</w:t>
      </w:r>
    </w:p>
    <w:p>
      <w:pPr>
        <w:tabs>
          <w:tab w:val="left" w:pos="860"/>
          <w:tab w:val="left" w:pos="960"/>
        </w:tabs>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3.4.3、安全区域边界</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安全区域边界针对网络边界提出了安全控制要求，主要对象为系统边界和区域边界等；涉及的安全控制点包括边界防护、访问控制、入侵防范、恶意代码防范、安全审计和可信验证。</w:t>
      </w:r>
    </w:p>
    <w:p>
      <w:pPr>
        <w:tabs>
          <w:tab w:val="left" w:pos="860"/>
          <w:tab w:val="left" w:pos="960"/>
        </w:tabs>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3.4.4、安全计算环境</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计算环境针对边界内部提出了安全控制要求，主要对象为边界内部的所有对象，包括网络设备、安全设备、服务器设备、终端设备、应用系统、数据对象和其他设备等；涉及的安全控制点包括身份鉴别、访问控制、安全审计、入侵防范、恶意代码防范、可信验证。</w:t>
      </w:r>
    </w:p>
    <w:p>
      <w:pPr>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3.4.5、安全管理中心</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安全管理中心针对整个系统提出了安全管理方面的技术控制要求，通过技术手段实现集中管理；涉及的安全控制点包括系统管理、审计管理、安全管理和集全等级。</w:t>
      </w:r>
    </w:p>
    <w:p>
      <w:pPr>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3.4.6、安全管理制度</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安全管理制度测评是对信息系统的安全管理制度体系和制度内容、制定和发布流程、评审和修订机制等情况进行测评。</w:t>
      </w:r>
    </w:p>
    <w:p>
      <w:pPr>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3.4.7、安全管理机构</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安全管理机构测评是对信息系统的安全管理组织和岗位设置、人员配备、授权和审批、沟通和合作、审核和检查等情况进行测评。</w:t>
      </w:r>
    </w:p>
    <w:p>
      <w:pPr>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3.4.8、安全管理人员</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人员安全管理测评是对信息系统相关内部人员的人员录用、人员离岗、人员考核、安全意识教育和培训，以及外部人员访问管理等情况进行测评。</w:t>
      </w:r>
    </w:p>
    <w:p>
      <w:pPr>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3.4.9、安全建设管理</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系统建设管理测评是对信息系统建设过程中的系统定级、安全方案设计、产品采购和使用、自主软件开发、外包软件开发、工程实施、测试验收、系统交付、系统定级备案、等级测评、安全服务商选择等情况进行测评。</w:t>
      </w:r>
    </w:p>
    <w:p>
      <w:pPr>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3.4.10、安全运维管理</w:t>
      </w:r>
    </w:p>
    <w:p>
      <w:pPr>
        <w:adjustRightInd w:val="0"/>
        <w:snapToGrid w:val="0"/>
        <w:spacing w:before="240" w:beforeLines="100" w:after="240" w:afterLines="100" w:line="360" w:lineRule="auto"/>
        <w:ind w:firstLine="480" w:firstLineChars="200"/>
        <w:jc w:val="both"/>
      </w:pPr>
      <w:r>
        <w:rPr>
          <w:rFonts w:hint="default" w:ascii="仿宋" w:hAnsi="仿宋" w:eastAsia="仿宋" w:cs="宋体"/>
          <w:b w:val="0"/>
          <w:bCs w:val="0"/>
          <w:i w:val="0"/>
          <w:iCs w:val="0"/>
          <w:color w:val="auto"/>
          <w:kern w:val="2"/>
          <w:sz w:val="24"/>
          <w:szCs w:val="24"/>
          <w:highlight w:val="none"/>
          <w:vertAlign w:val="baseline"/>
          <w:lang w:val="en-US" w:eastAsia="zh-CN"/>
        </w:rPr>
        <w:t>系统运维管理测评是对信息系统运行维护过程中的环境管理、资产管理、介质管理、设备管理、监控管理和安全管理中心、网络安全管理、系统安全管理、恶意代码防范管理、密码管理、变更管理、备份与恢复管理、安全事件处置、应急预案管理等情况进行测评。</w:t>
      </w:r>
    </w:p>
    <w:p>
      <w:pPr>
        <w:adjustRightInd w:val="0"/>
        <w:snapToGrid w:val="0"/>
        <w:spacing w:before="240" w:beforeLines="100" w:after="240" w:afterLines="100" w:line="360" w:lineRule="auto"/>
        <w:ind w:firstLine="200"/>
        <w:jc w:val="both"/>
      </w:pPr>
      <w:r>
        <w:rPr>
          <w:rFonts w:hint="default" w:ascii="仿宋" w:hAnsi="仿宋" w:eastAsia="仿宋" w:cs="Times New Roman"/>
          <w:b/>
          <w:bCs/>
          <w:i w:val="0"/>
          <w:iCs w:val="0"/>
          <w:color w:val="000000"/>
          <w:kern w:val="2"/>
          <w:sz w:val="24"/>
          <w:szCs w:val="24"/>
          <w:highlight w:val="none"/>
          <w:vertAlign w:val="baseline"/>
          <w:lang w:val="en-US" w:eastAsia="zh-CN"/>
        </w:rPr>
        <w:t>4、交付文档</w:t>
      </w:r>
    </w:p>
    <w:tbl>
      <w:tblPr>
        <w:tblStyle w:val="11"/>
        <w:tblW w:w="8302" w:type="dxa"/>
        <w:tblInd w:w="0" w:type="dxa"/>
        <w:tblLayout w:type="autofit"/>
        <w:tblCellMar>
          <w:top w:w="0" w:type="dxa"/>
          <w:left w:w="108" w:type="dxa"/>
          <w:bottom w:w="0" w:type="dxa"/>
          <w:right w:w="108" w:type="dxa"/>
        </w:tblCellMar>
      </w:tblPr>
      <w:tblGrid>
        <w:gridCol w:w="976"/>
        <w:gridCol w:w="1690"/>
        <w:gridCol w:w="5636"/>
      </w:tblGrid>
      <w:tr>
        <w:tblPrEx>
          <w:tblCellMar>
            <w:top w:w="0" w:type="dxa"/>
            <w:left w:w="108" w:type="dxa"/>
            <w:bottom w:w="0" w:type="dxa"/>
            <w:right w:w="108" w:type="dxa"/>
          </w:tblCellMar>
        </w:tblPrEx>
        <w:tc>
          <w:tcPr>
            <w:tcW w:w="1047" w:type="dxa"/>
            <w:tcBorders>
              <w:top w:val="single" w:color="auto" w:sz="4" w:space="0"/>
              <w:left w:val="single" w:color="auto" w:sz="4" w:space="0"/>
              <w:bottom w:val="single" w:color="auto" w:sz="4" w:space="0"/>
              <w:right w:val="single" w:color="auto" w:sz="4" w:space="0"/>
            </w:tcBorders>
            <w:shd w:val="clear" w:color="FFFFFF" w:fill="A6A6A6"/>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bCs/>
                <w:i w:val="0"/>
                <w:iCs w:val="0"/>
                <w:color w:val="auto"/>
                <w:kern w:val="0"/>
                <w:sz w:val="24"/>
                <w:szCs w:val="24"/>
                <w:highlight w:val="none"/>
                <w:vertAlign w:val="baseline"/>
                <w:lang w:val="en-US" w:eastAsia="zh-CN"/>
              </w:rPr>
              <w:t>序号</w:t>
            </w:r>
          </w:p>
        </w:tc>
        <w:tc>
          <w:tcPr>
            <w:tcW w:w="1859" w:type="dxa"/>
            <w:tcBorders>
              <w:top w:val="single" w:color="auto" w:sz="4" w:space="0"/>
              <w:left w:val="single" w:color="auto" w:sz="4" w:space="0"/>
              <w:bottom w:val="single" w:color="auto" w:sz="4" w:space="0"/>
              <w:right w:val="single" w:color="auto" w:sz="4" w:space="0"/>
            </w:tcBorders>
            <w:shd w:val="clear" w:color="FFFFFF" w:fill="A6A6A6"/>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bCs/>
                <w:i w:val="0"/>
                <w:iCs w:val="0"/>
                <w:color w:val="auto"/>
                <w:kern w:val="0"/>
                <w:sz w:val="24"/>
                <w:szCs w:val="24"/>
                <w:highlight w:val="none"/>
                <w:vertAlign w:val="baseline"/>
                <w:lang w:val="en-US" w:eastAsia="zh-CN"/>
              </w:rPr>
              <w:t>项目阶段</w:t>
            </w:r>
          </w:p>
        </w:tc>
        <w:tc>
          <w:tcPr>
            <w:tcW w:w="6261" w:type="dxa"/>
            <w:tcBorders>
              <w:top w:val="single" w:color="auto" w:sz="4" w:space="0"/>
              <w:left w:val="single" w:color="auto" w:sz="4" w:space="0"/>
              <w:bottom w:val="single" w:color="auto" w:sz="4" w:space="0"/>
              <w:right w:val="single" w:color="auto" w:sz="4" w:space="0"/>
            </w:tcBorders>
            <w:shd w:val="clear" w:color="FFFFFF" w:fill="A6A6A6"/>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bCs/>
                <w:i w:val="0"/>
                <w:iCs w:val="0"/>
                <w:color w:val="auto"/>
                <w:kern w:val="0"/>
                <w:sz w:val="24"/>
                <w:szCs w:val="24"/>
                <w:highlight w:val="none"/>
                <w:vertAlign w:val="baseline"/>
                <w:lang w:val="en-US" w:eastAsia="zh-CN"/>
              </w:rPr>
              <w:t>输出成果</w:t>
            </w:r>
          </w:p>
        </w:tc>
      </w:tr>
      <w:tr>
        <w:tblPrEx>
          <w:tblCellMar>
            <w:top w:w="0" w:type="dxa"/>
            <w:left w:w="108" w:type="dxa"/>
            <w:bottom w:w="0" w:type="dxa"/>
            <w:right w:w="108" w:type="dxa"/>
          </w:tblCellMar>
        </w:tblPrEx>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1</w:t>
            </w:r>
          </w:p>
        </w:tc>
        <w:tc>
          <w:tcPr>
            <w:tcW w:w="1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测评准备阶段</w:t>
            </w:r>
          </w:p>
        </w:tc>
        <w:tc>
          <w:tcPr>
            <w:tcW w:w="6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《测评计划书 》、《调研结果报告》、《工具清单》、《信息安全等级保护测评方案》、《测评指导书》</w:t>
            </w:r>
          </w:p>
        </w:tc>
      </w:tr>
      <w:tr>
        <w:tblPrEx>
          <w:tblCellMar>
            <w:top w:w="0" w:type="dxa"/>
            <w:left w:w="108" w:type="dxa"/>
            <w:bottom w:w="0" w:type="dxa"/>
            <w:right w:w="108" w:type="dxa"/>
          </w:tblCellMar>
        </w:tblPrEx>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2</w:t>
            </w:r>
          </w:p>
        </w:tc>
        <w:tc>
          <w:tcPr>
            <w:tcW w:w="1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现场测评阶段</w:t>
            </w:r>
          </w:p>
        </w:tc>
        <w:tc>
          <w:tcPr>
            <w:tcW w:w="6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《网络安全等级保护测评过程文档》</w:t>
            </w:r>
          </w:p>
        </w:tc>
      </w:tr>
      <w:tr>
        <w:tblPrEx>
          <w:tblCellMar>
            <w:top w:w="0" w:type="dxa"/>
            <w:left w:w="108" w:type="dxa"/>
            <w:bottom w:w="0" w:type="dxa"/>
            <w:right w:w="108" w:type="dxa"/>
          </w:tblCellMar>
        </w:tblPrEx>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3</w:t>
            </w:r>
          </w:p>
        </w:tc>
        <w:tc>
          <w:tcPr>
            <w:tcW w:w="1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现场结果分析</w:t>
            </w:r>
          </w:p>
        </w:tc>
        <w:tc>
          <w:tcPr>
            <w:tcW w:w="6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《网络等级安全保护测评加固建议方案》</w:t>
            </w:r>
          </w:p>
        </w:tc>
      </w:tr>
      <w:tr>
        <w:tblPrEx>
          <w:tblCellMar>
            <w:top w:w="0" w:type="dxa"/>
            <w:left w:w="108" w:type="dxa"/>
            <w:bottom w:w="0" w:type="dxa"/>
            <w:right w:w="108" w:type="dxa"/>
          </w:tblCellMar>
        </w:tblPrEx>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4</w:t>
            </w:r>
          </w:p>
        </w:tc>
        <w:tc>
          <w:tcPr>
            <w:tcW w:w="1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报告编制</w:t>
            </w:r>
          </w:p>
        </w:tc>
        <w:tc>
          <w:tcPr>
            <w:tcW w:w="6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《网络安全等级保护测评报告》</w:t>
            </w:r>
          </w:p>
        </w:tc>
      </w:tr>
      <w:tr>
        <w:tblPrEx>
          <w:tblCellMar>
            <w:top w:w="0" w:type="dxa"/>
            <w:left w:w="108" w:type="dxa"/>
            <w:bottom w:w="0" w:type="dxa"/>
            <w:right w:w="108" w:type="dxa"/>
          </w:tblCellMar>
        </w:tblPrEx>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5</w:t>
            </w:r>
          </w:p>
        </w:tc>
        <w:tc>
          <w:tcPr>
            <w:tcW w:w="1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备案</w:t>
            </w:r>
          </w:p>
        </w:tc>
        <w:tc>
          <w:tcPr>
            <w:tcW w:w="6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《等保定级报告》《备案表》</w:t>
            </w:r>
          </w:p>
        </w:tc>
      </w:tr>
      <w:tr>
        <w:tblPrEx>
          <w:tblCellMar>
            <w:top w:w="0" w:type="dxa"/>
            <w:left w:w="108" w:type="dxa"/>
            <w:bottom w:w="0" w:type="dxa"/>
            <w:right w:w="108" w:type="dxa"/>
          </w:tblCellMar>
        </w:tblPrEx>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6</w:t>
            </w:r>
          </w:p>
        </w:tc>
        <w:tc>
          <w:tcPr>
            <w:tcW w:w="1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安全服务</w:t>
            </w:r>
          </w:p>
        </w:tc>
        <w:tc>
          <w:tcPr>
            <w:tcW w:w="6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360" w:lineRule="auto"/>
              <w:jc w:val="center"/>
            </w:pPr>
            <w:r>
              <w:rPr>
                <w:rFonts w:hint="default" w:ascii="仿宋" w:hAnsi="仿宋" w:eastAsia="仿宋" w:cs="Times New Roman"/>
                <w:b w:val="0"/>
                <w:bCs w:val="0"/>
                <w:i w:val="0"/>
                <w:iCs w:val="0"/>
                <w:color w:val="auto"/>
                <w:kern w:val="0"/>
                <w:sz w:val="24"/>
                <w:szCs w:val="24"/>
                <w:highlight w:val="none"/>
                <w:vertAlign w:val="baseline"/>
                <w:lang w:val="en-US" w:eastAsia="zh-CN"/>
              </w:rPr>
              <w:t>《安全培训方案和相关文档》、《漏洞扫描报告》、《渗透测试报告》</w:t>
            </w:r>
          </w:p>
        </w:tc>
      </w:tr>
    </w:tbl>
    <w:p>
      <w:pPr>
        <w:keepNext/>
        <w:keepLines/>
        <w:spacing w:before="260" w:after="260" w:line="400" w:lineRule="exact"/>
        <w:ind w:firstLine="236" w:firstLineChars="98"/>
        <w:jc w:val="both"/>
        <w:outlineLvl w:val="1"/>
      </w:pPr>
      <w:r>
        <w:rPr>
          <w:rFonts w:hint="default" w:ascii="仿宋" w:hAnsi="仿宋" w:eastAsia="仿宋" w:cs="Times New Roman"/>
          <w:b/>
          <w:bCs/>
          <w:i w:val="0"/>
          <w:iCs w:val="0"/>
          <w:color w:val="auto"/>
          <w:kern w:val="2"/>
          <w:sz w:val="24"/>
          <w:szCs w:val="24"/>
          <w:highlight w:val="none"/>
          <w:vertAlign w:val="baseline"/>
          <w:lang w:val="en-US" w:eastAsia="zh-CN"/>
        </w:rPr>
        <w:t>★</w:t>
      </w:r>
      <w:r>
        <w:rPr>
          <w:rFonts w:hint="eastAsia" w:ascii="仿宋" w:hAnsi="仿宋" w:eastAsia="仿宋" w:cs="Times New Roman"/>
          <w:b/>
          <w:bCs/>
          <w:i w:val="0"/>
          <w:iCs w:val="0"/>
          <w:color w:val="auto"/>
          <w:kern w:val="2"/>
          <w:sz w:val="24"/>
          <w:szCs w:val="24"/>
          <w:highlight w:val="none"/>
          <w:vertAlign w:val="baseline"/>
          <w:lang w:val="en-US" w:eastAsia="zh-CN"/>
        </w:rPr>
        <w:t>三</w:t>
      </w:r>
      <w:r>
        <w:rPr>
          <w:rFonts w:hint="default" w:ascii="仿宋" w:hAnsi="仿宋" w:eastAsia="仿宋" w:cs="Times New Roman"/>
          <w:b/>
          <w:bCs/>
          <w:i w:val="0"/>
          <w:iCs w:val="0"/>
          <w:color w:val="auto"/>
          <w:kern w:val="2"/>
          <w:sz w:val="24"/>
          <w:szCs w:val="24"/>
          <w:highlight w:val="none"/>
          <w:vertAlign w:val="baseline"/>
          <w:lang w:val="en-US" w:eastAsia="zh-CN"/>
        </w:rPr>
        <w:t>.商务要求</w:t>
      </w:r>
    </w:p>
    <w:p>
      <w:pPr>
        <w:spacing w:after="160" w:line="360" w:lineRule="auto"/>
        <w:ind w:firstLine="480" w:firstLineChars="200"/>
        <w:jc w:val="both"/>
      </w:pPr>
      <w:r>
        <w:rPr>
          <w:rFonts w:hint="default" w:ascii="仿宋" w:hAnsi="仿宋" w:eastAsia="仿宋" w:cs="Times New Roman"/>
          <w:b w:val="0"/>
          <w:bCs w:val="0"/>
          <w:i w:val="0"/>
          <w:iCs w:val="0"/>
          <w:color w:val="auto"/>
          <w:kern w:val="2"/>
          <w:sz w:val="24"/>
          <w:szCs w:val="24"/>
          <w:highlight w:val="none"/>
          <w:vertAlign w:val="baseline"/>
          <w:lang w:val="en-US" w:eastAsia="zh-CN"/>
        </w:rPr>
        <w:t>1、交付时间：合同签订后</w:t>
      </w:r>
      <w:r>
        <w:rPr>
          <w:rFonts w:hint="eastAsia" w:ascii="仿宋" w:hAnsi="仿宋" w:eastAsia="仿宋" w:cs="Times New Roman"/>
          <w:b w:val="0"/>
          <w:bCs w:val="0"/>
          <w:i w:val="0"/>
          <w:iCs w:val="0"/>
          <w:color w:val="auto"/>
          <w:kern w:val="2"/>
          <w:sz w:val="24"/>
          <w:szCs w:val="24"/>
          <w:highlight w:val="none"/>
          <w:u w:val="single"/>
          <w:vertAlign w:val="baseline"/>
          <w:lang w:val="en-US" w:eastAsia="zh-CN"/>
        </w:rPr>
        <w:t xml:space="preserve">  </w:t>
      </w:r>
      <w:r>
        <w:rPr>
          <w:rFonts w:hint="default" w:ascii="仿宋" w:hAnsi="仿宋" w:eastAsia="仿宋" w:cs="Times New Roman"/>
          <w:b w:val="0"/>
          <w:bCs w:val="0"/>
          <w:i w:val="0"/>
          <w:iCs w:val="0"/>
          <w:color w:val="auto"/>
          <w:kern w:val="2"/>
          <w:sz w:val="24"/>
          <w:szCs w:val="24"/>
          <w:highlight w:val="none"/>
          <w:vertAlign w:val="baseline"/>
          <w:lang w:val="en-US" w:eastAsia="zh-CN"/>
        </w:rPr>
        <w:t>日内需交付。</w:t>
      </w:r>
    </w:p>
    <w:p>
      <w:pPr>
        <w:spacing w:after="160" w:line="360" w:lineRule="auto"/>
        <w:ind w:firstLine="480" w:firstLineChars="200"/>
        <w:jc w:val="both"/>
      </w:pPr>
      <w:r>
        <w:rPr>
          <w:rFonts w:hint="default" w:ascii="仿宋" w:hAnsi="仿宋" w:eastAsia="仿宋" w:cs="Times New Roman"/>
          <w:b w:val="0"/>
          <w:bCs w:val="0"/>
          <w:i w:val="0"/>
          <w:iCs w:val="0"/>
          <w:color w:val="auto"/>
          <w:kern w:val="2"/>
          <w:sz w:val="24"/>
          <w:szCs w:val="24"/>
          <w:highlight w:val="none"/>
          <w:vertAlign w:val="baseline"/>
          <w:lang w:val="en-US" w:eastAsia="zh-CN"/>
        </w:rPr>
        <w:t>2、服务地点：</w:t>
      </w:r>
      <w:r>
        <w:rPr>
          <w:rFonts w:hint="eastAsia" w:ascii="仿宋" w:hAnsi="仿宋" w:eastAsia="仿宋" w:cs="Times New Roman"/>
          <w:b w:val="0"/>
          <w:bCs w:val="0"/>
          <w:i w:val="0"/>
          <w:iCs w:val="0"/>
          <w:color w:val="auto"/>
          <w:kern w:val="2"/>
          <w:sz w:val="24"/>
          <w:szCs w:val="24"/>
          <w:highlight w:val="none"/>
          <w:vertAlign w:val="baseline"/>
          <w:lang w:val="en-US" w:eastAsia="zh-CN"/>
        </w:rPr>
        <w:t>自贡市第三人民医院</w:t>
      </w:r>
      <w:r>
        <w:rPr>
          <w:rFonts w:hint="default" w:ascii="仿宋" w:hAnsi="仿宋" w:eastAsia="仿宋" w:cs="Times New Roman"/>
          <w:b w:val="0"/>
          <w:bCs w:val="0"/>
          <w:i w:val="0"/>
          <w:iCs w:val="0"/>
          <w:color w:val="auto"/>
          <w:kern w:val="2"/>
          <w:sz w:val="24"/>
          <w:szCs w:val="24"/>
          <w:highlight w:val="none"/>
          <w:vertAlign w:val="baseline"/>
          <w:lang w:val="en-US" w:eastAsia="zh-CN"/>
        </w:rPr>
        <w:t xml:space="preserve">。 </w:t>
      </w:r>
      <w:bookmarkStart w:id="18" w:name="_GoBack"/>
      <w:bookmarkEnd w:id="18"/>
    </w:p>
    <w:p>
      <w:pPr>
        <w:spacing w:after="160" w:line="360" w:lineRule="auto"/>
        <w:ind w:firstLine="480" w:firstLineChars="200"/>
        <w:jc w:val="both"/>
      </w:pPr>
      <w:r>
        <w:rPr>
          <w:rFonts w:hint="eastAsia" w:ascii="仿宋" w:hAnsi="仿宋" w:eastAsia="仿宋" w:cs="Times New Roman"/>
          <w:b w:val="0"/>
          <w:bCs w:val="0"/>
          <w:i w:val="0"/>
          <w:iCs w:val="0"/>
          <w:color w:val="auto"/>
          <w:kern w:val="2"/>
          <w:sz w:val="24"/>
          <w:szCs w:val="24"/>
          <w:highlight w:val="none"/>
          <w:vertAlign w:val="baseline"/>
          <w:lang w:val="en-US" w:eastAsia="zh-CN"/>
        </w:rPr>
        <w:t>3</w:t>
      </w:r>
      <w:r>
        <w:rPr>
          <w:rFonts w:hint="default" w:ascii="仿宋" w:hAnsi="仿宋" w:eastAsia="仿宋" w:cs="Times New Roman"/>
          <w:b w:val="0"/>
          <w:bCs w:val="0"/>
          <w:i w:val="0"/>
          <w:iCs w:val="0"/>
          <w:color w:val="auto"/>
          <w:kern w:val="2"/>
          <w:sz w:val="24"/>
          <w:szCs w:val="24"/>
          <w:highlight w:val="none"/>
          <w:vertAlign w:val="baseline"/>
          <w:lang w:val="en-US" w:eastAsia="zh-CN"/>
        </w:rPr>
        <w:t>、验收标准和方法：采购人按《财政部关于进一步加强政府采购需求和履约验收管理的指导意见》（财库〔2016〕205号）及采购人相关规定验收。</w:t>
      </w:r>
    </w:p>
    <w:p>
      <w:pPr>
        <w:spacing w:after="160" w:line="360" w:lineRule="auto"/>
        <w:ind w:firstLine="480" w:firstLineChars="200"/>
        <w:jc w:val="both"/>
      </w:pPr>
      <w:r>
        <w:rPr>
          <w:rFonts w:hint="eastAsia" w:ascii="仿宋" w:hAnsi="仿宋" w:eastAsia="仿宋" w:cs="Times New Roman"/>
          <w:b w:val="0"/>
          <w:bCs w:val="0"/>
          <w:i w:val="0"/>
          <w:iCs w:val="0"/>
          <w:color w:val="auto"/>
          <w:kern w:val="2"/>
          <w:sz w:val="24"/>
          <w:szCs w:val="24"/>
          <w:highlight w:val="none"/>
          <w:vertAlign w:val="baseline"/>
          <w:lang w:val="en-US" w:eastAsia="zh-CN"/>
        </w:rPr>
        <w:t>4</w:t>
      </w:r>
      <w:r>
        <w:rPr>
          <w:rFonts w:hint="default" w:ascii="仿宋" w:hAnsi="仿宋" w:eastAsia="仿宋" w:cs="Times New Roman"/>
          <w:b w:val="0"/>
          <w:bCs w:val="0"/>
          <w:i w:val="0"/>
          <w:iCs w:val="0"/>
          <w:color w:val="auto"/>
          <w:kern w:val="2"/>
          <w:sz w:val="24"/>
          <w:szCs w:val="24"/>
          <w:highlight w:val="none"/>
          <w:vertAlign w:val="baseline"/>
          <w:lang w:val="en-US" w:eastAsia="zh-CN"/>
        </w:rPr>
        <w:t>、售后服务：需在服务期限内提供等级保护相关安全咨询服务，并提供一次安全培训服务。</w:t>
      </w:r>
    </w:p>
    <w:p>
      <w:pPr>
        <w:spacing w:after="160" w:line="360" w:lineRule="auto"/>
        <w:ind w:firstLine="480" w:firstLineChars="200"/>
        <w:jc w:val="both"/>
      </w:pPr>
      <w:r>
        <w:rPr>
          <w:rFonts w:hint="eastAsia" w:ascii="仿宋" w:hAnsi="仿宋" w:eastAsia="仿宋" w:cs="Times New Roman"/>
          <w:b w:val="0"/>
          <w:bCs w:val="0"/>
          <w:i w:val="0"/>
          <w:iCs w:val="0"/>
          <w:color w:val="auto"/>
          <w:kern w:val="2"/>
          <w:sz w:val="24"/>
          <w:szCs w:val="24"/>
          <w:highlight w:val="none"/>
          <w:vertAlign w:val="baseline"/>
          <w:lang w:val="en-US" w:eastAsia="zh-CN"/>
        </w:rPr>
        <w:t>5</w:t>
      </w:r>
      <w:r>
        <w:rPr>
          <w:rFonts w:hint="default" w:ascii="仿宋" w:hAnsi="仿宋" w:eastAsia="仿宋" w:cs="Times New Roman"/>
          <w:b w:val="0"/>
          <w:bCs w:val="0"/>
          <w:i w:val="0"/>
          <w:iCs w:val="0"/>
          <w:color w:val="auto"/>
          <w:kern w:val="2"/>
          <w:sz w:val="24"/>
          <w:szCs w:val="24"/>
          <w:highlight w:val="none"/>
          <w:vertAlign w:val="baseline"/>
          <w:lang w:val="en-US" w:eastAsia="zh-CN"/>
        </w:rPr>
        <w:t>、供应商须具有《网络安全等级保护测评与检测评估机构服务认证证书》；（提供有效证书复印件进行佐证）。</w:t>
      </w:r>
    </w:p>
    <w:p/>
    <w:p>
      <w:pPr>
        <w:rPr>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NTE4MjZiMjNmMjk1ZjQwNDU2NmQ5MmI0MDRhZmMifQ=="/>
  </w:docVars>
  <w:rsids>
    <w:rsidRoot w:val="00E2133E"/>
    <w:rsid w:val="00002196"/>
    <w:rsid w:val="0001284E"/>
    <w:rsid w:val="000138F3"/>
    <w:rsid w:val="000236C2"/>
    <w:rsid w:val="00036E83"/>
    <w:rsid w:val="00037EDA"/>
    <w:rsid w:val="00044FFC"/>
    <w:rsid w:val="000517B1"/>
    <w:rsid w:val="00051F9F"/>
    <w:rsid w:val="00060C62"/>
    <w:rsid w:val="000653AD"/>
    <w:rsid w:val="00080593"/>
    <w:rsid w:val="00086641"/>
    <w:rsid w:val="00086B04"/>
    <w:rsid w:val="00087CD8"/>
    <w:rsid w:val="00091FAC"/>
    <w:rsid w:val="000A247D"/>
    <w:rsid w:val="000B307B"/>
    <w:rsid w:val="0010050F"/>
    <w:rsid w:val="00104E9F"/>
    <w:rsid w:val="00115B4D"/>
    <w:rsid w:val="00122A25"/>
    <w:rsid w:val="001338A8"/>
    <w:rsid w:val="00142D45"/>
    <w:rsid w:val="00147668"/>
    <w:rsid w:val="00156A46"/>
    <w:rsid w:val="001759C0"/>
    <w:rsid w:val="00176C4B"/>
    <w:rsid w:val="00187B52"/>
    <w:rsid w:val="00191644"/>
    <w:rsid w:val="001A1034"/>
    <w:rsid w:val="001B3D8A"/>
    <w:rsid w:val="001D428F"/>
    <w:rsid w:val="001D7910"/>
    <w:rsid w:val="001E074E"/>
    <w:rsid w:val="001F0093"/>
    <w:rsid w:val="0020009C"/>
    <w:rsid w:val="00227A7B"/>
    <w:rsid w:val="00240DF5"/>
    <w:rsid w:val="0024410A"/>
    <w:rsid w:val="00253644"/>
    <w:rsid w:val="00272D60"/>
    <w:rsid w:val="0027645E"/>
    <w:rsid w:val="00277B05"/>
    <w:rsid w:val="0028566B"/>
    <w:rsid w:val="00293174"/>
    <w:rsid w:val="00297273"/>
    <w:rsid w:val="002978D3"/>
    <w:rsid w:val="002C240E"/>
    <w:rsid w:val="002C45BB"/>
    <w:rsid w:val="002F29C3"/>
    <w:rsid w:val="00310EB4"/>
    <w:rsid w:val="00311B70"/>
    <w:rsid w:val="003360EC"/>
    <w:rsid w:val="00340D00"/>
    <w:rsid w:val="003438B4"/>
    <w:rsid w:val="003660F9"/>
    <w:rsid w:val="00375772"/>
    <w:rsid w:val="003923FC"/>
    <w:rsid w:val="00396E9D"/>
    <w:rsid w:val="003A69A3"/>
    <w:rsid w:val="003D25E1"/>
    <w:rsid w:val="003D389C"/>
    <w:rsid w:val="003E021B"/>
    <w:rsid w:val="003F1C48"/>
    <w:rsid w:val="003F232E"/>
    <w:rsid w:val="00401760"/>
    <w:rsid w:val="004028C8"/>
    <w:rsid w:val="00410341"/>
    <w:rsid w:val="00414276"/>
    <w:rsid w:val="004209D1"/>
    <w:rsid w:val="00435C52"/>
    <w:rsid w:val="00436011"/>
    <w:rsid w:val="00484D5B"/>
    <w:rsid w:val="00484E89"/>
    <w:rsid w:val="00486F2C"/>
    <w:rsid w:val="004A09FD"/>
    <w:rsid w:val="004A1B2E"/>
    <w:rsid w:val="004A3D6C"/>
    <w:rsid w:val="004D3F81"/>
    <w:rsid w:val="004D51AF"/>
    <w:rsid w:val="004F1258"/>
    <w:rsid w:val="0050645A"/>
    <w:rsid w:val="00507D9B"/>
    <w:rsid w:val="00514262"/>
    <w:rsid w:val="00545B33"/>
    <w:rsid w:val="00555F5E"/>
    <w:rsid w:val="00583D12"/>
    <w:rsid w:val="0058553A"/>
    <w:rsid w:val="005A2014"/>
    <w:rsid w:val="005A286F"/>
    <w:rsid w:val="005A62A5"/>
    <w:rsid w:val="005A7706"/>
    <w:rsid w:val="005C7872"/>
    <w:rsid w:val="005D3CBC"/>
    <w:rsid w:val="005E2C9C"/>
    <w:rsid w:val="005E6513"/>
    <w:rsid w:val="005E6D58"/>
    <w:rsid w:val="005F09AC"/>
    <w:rsid w:val="005F7604"/>
    <w:rsid w:val="0061527A"/>
    <w:rsid w:val="00625517"/>
    <w:rsid w:val="00640EB6"/>
    <w:rsid w:val="00643C28"/>
    <w:rsid w:val="00661F55"/>
    <w:rsid w:val="00667824"/>
    <w:rsid w:val="0068294A"/>
    <w:rsid w:val="00696044"/>
    <w:rsid w:val="006A15D0"/>
    <w:rsid w:val="006C18E6"/>
    <w:rsid w:val="006D15E2"/>
    <w:rsid w:val="006D6EDF"/>
    <w:rsid w:val="006E737F"/>
    <w:rsid w:val="006F1F91"/>
    <w:rsid w:val="006F72D5"/>
    <w:rsid w:val="006F7CFA"/>
    <w:rsid w:val="0070290F"/>
    <w:rsid w:val="0071454E"/>
    <w:rsid w:val="007231C0"/>
    <w:rsid w:val="00724EC9"/>
    <w:rsid w:val="00742027"/>
    <w:rsid w:val="00744E7F"/>
    <w:rsid w:val="00745174"/>
    <w:rsid w:val="00756E48"/>
    <w:rsid w:val="00761560"/>
    <w:rsid w:val="00767CD6"/>
    <w:rsid w:val="00782324"/>
    <w:rsid w:val="00786A84"/>
    <w:rsid w:val="00794015"/>
    <w:rsid w:val="00795F4C"/>
    <w:rsid w:val="007A002F"/>
    <w:rsid w:val="007A5CE6"/>
    <w:rsid w:val="007A687B"/>
    <w:rsid w:val="007B3443"/>
    <w:rsid w:val="007D333B"/>
    <w:rsid w:val="00803699"/>
    <w:rsid w:val="00827785"/>
    <w:rsid w:val="008420D0"/>
    <w:rsid w:val="008710B9"/>
    <w:rsid w:val="00885224"/>
    <w:rsid w:val="008A50D7"/>
    <w:rsid w:val="008B0311"/>
    <w:rsid w:val="008B3351"/>
    <w:rsid w:val="008E318C"/>
    <w:rsid w:val="008E3232"/>
    <w:rsid w:val="009018F8"/>
    <w:rsid w:val="0090748B"/>
    <w:rsid w:val="0091195C"/>
    <w:rsid w:val="00913675"/>
    <w:rsid w:val="00915433"/>
    <w:rsid w:val="00933443"/>
    <w:rsid w:val="00934A51"/>
    <w:rsid w:val="009422E0"/>
    <w:rsid w:val="00950A1E"/>
    <w:rsid w:val="00961807"/>
    <w:rsid w:val="0096506E"/>
    <w:rsid w:val="00970835"/>
    <w:rsid w:val="00976E52"/>
    <w:rsid w:val="0098562F"/>
    <w:rsid w:val="009A3946"/>
    <w:rsid w:val="009C11B6"/>
    <w:rsid w:val="009C3A83"/>
    <w:rsid w:val="009C7307"/>
    <w:rsid w:val="009D0BCE"/>
    <w:rsid w:val="009D5184"/>
    <w:rsid w:val="009D7D2B"/>
    <w:rsid w:val="009E6038"/>
    <w:rsid w:val="009F05BF"/>
    <w:rsid w:val="009F6B38"/>
    <w:rsid w:val="00A42FF1"/>
    <w:rsid w:val="00A50E1F"/>
    <w:rsid w:val="00A80451"/>
    <w:rsid w:val="00A8784A"/>
    <w:rsid w:val="00AA68BB"/>
    <w:rsid w:val="00AA7577"/>
    <w:rsid w:val="00AB5AD9"/>
    <w:rsid w:val="00AE564B"/>
    <w:rsid w:val="00AE6C1F"/>
    <w:rsid w:val="00AE7084"/>
    <w:rsid w:val="00AF0C4C"/>
    <w:rsid w:val="00B07360"/>
    <w:rsid w:val="00B11AC3"/>
    <w:rsid w:val="00B21F38"/>
    <w:rsid w:val="00B40192"/>
    <w:rsid w:val="00B42E7C"/>
    <w:rsid w:val="00B52690"/>
    <w:rsid w:val="00B5299A"/>
    <w:rsid w:val="00B71D46"/>
    <w:rsid w:val="00B72985"/>
    <w:rsid w:val="00B72E26"/>
    <w:rsid w:val="00B96481"/>
    <w:rsid w:val="00BA2E5D"/>
    <w:rsid w:val="00BB1064"/>
    <w:rsid w:val="00BC45BF"/>
    <w:rsid w:val="00BE06BE"/>
    <w:rsid w:val="00BE1F24"/>
    <w:rsid w:val="00C010AA"/>
    <w:rsid w:val="00C03E9D"/>
    <w:rsid w:val="00C058C8"/>
    <w:rsid w:val="00C1229C"/>
    <w:rsid w:val="00C25C07"/>
    <w:rsid w:val="00C30CC3"/>
    <w:rsid w:val="00C47BA3"/>
    <w:rsid w:val="00C678B2"/>
    <w:rsid w:val="00C70132"/>
    <w:rsid w:val="00C7272F"/>
    <w:rsid w:val="00C75322"/>
    <w:rsid w:val="00C76CDB"/>
    <w:rsid w:val="00C77D04"/>
    <w:rsid w:val="00C77F5B"/>
    <w:rsid w:val="00C80E93"/>
    <w:rsid w:val="00C8197E"/>
    <w:rsid w:val="00C84815"/>
    <w:rsid w:val="00CA6182"/>
    <w:rsid w:val="00CA6CF4"/>
    <w:rsid w:val="00CF2349"/>
    <w:rsid w:val="00D01BCE"/>
    <w:rsid w:val="00D05EF3"/>
    <w:rsid w:val="00D21023"/>
    <w:rsid w:val="00D21960"/>
    <w:rsid w:val="00D2469A"/>
    <w:rsid w:val="00D323DF"/>
    <w:rsid w:val="00D4272F"/>
    <w:rsid w:val="00D42C20"/>
    <w:rsid w:val="00D4441B"/>
    <w:rsid w:val="00D46D8B"/>
    <w:rsid w:val="00D612DC"/>
    <w:rsid w:val="00D8272E"/>
    <w:rsid w:val="00D908F1"/>
    <w:rsid w:val="00D93567"/>
    <w:rsid w:val="00D96DB6"/>
    <w:rsid w:val="00DA0355"/>
    <w:rsid w:val="00DA3402"/>
    <w:rsid w:val="00DA41F8"/>
    <w:rsid w:val="00DB0C08"/>
    <w:rsid w:val="00DC47A0"/>
    <w:rsid w:val="00DC5C6C"/>
    <w:rsid w:val="00DD3975"/>
    <w:rsid w:val="00DD51F0"/>
    <w:rsid w:val="00DF53A1"/>
    <w:rsid w:val="00E02A35"/>
    <w:rsid w:val="00E06A8C"/>
    <w:rsid w:val="00E16DA3"/>
    <w:rsid w:val="00E16EC0"/>
    <w:rsid w:val="00E2133E"/>
    <w:rsid w:val="00E22F71"/>
    <w:rsid w:val="00E31BAA"/>
    <w:rsid w:val="00E449B1"/>
    <w:rsid w:val="00E47FEF"/>
    <w:rsid w:val="00E7278D"/>
    <w:rsid w:val="00E73226"/>
    <w:rsid w:val="00E74CC1"/>
    <w:rsid w:val="00E74EA3"/>
    <w:rsid w:val="00E87A51"/>
    <w:rsid w:val="00E90113"/>
    <w:rsid w:val="00EA192C"/>
    <w:rsid w:val="00EB2758"/>
    <w:rsid w:val="00EC471F"/>
    <w:rsid w:val="00ED43B2"/>
    <w:rsid w:val="00ED6185"/>
    <w:rsid w:val="00ED6C3B"/>
    <w:rsid w:val="00EE3506"/>
    <w:rsid w:val="00EE36EC"/>
    <w:rsid w:val="00F54820"/>
    <w:rsid w:val="00F55C96"/>
    <w:rsid w:val="00F814EB"/>
    <w:rsid w:val="00F9407D"/>
    <w:rsid w:val="00F95BDC"/>
    <w:rsid w:val="00FB56F0"/>
    <w:rsid w:val="00FD3045"/>
    <w:rsid w:val="00FD51FA"/>
    <w:rsid w:val="00FE2FFD"/>
    <w:rsid w:val="00FE4551"/>
    <w:rsid w:val="00FF314E"/>
    <w:rsid w:val="014B419D"/>
    <w:rsid w:val="0281364A"/>
    <w:rsid w:val="033D350D"/>
    <w:rsid w:val="09A5514C"/>
    <w:rsid w:val="0C120997"/>
    <w:rsid w:val="0C230385"/>
    <w:rsid w:val="0C41302A"/>
    <w:rsid w:val="0DC9777B"/>
    <w:rsid w:val="0EA4213E"/>
    <w:rsid w:val="0F2F4BF3"/>
    <w:rsid w:val="0FEE34C9"/>
    <w:rsid w:val="0FFF1A9C"/>
    <w:rsid w:val="11511F61"/>
    <w:rsid w:val="119C142F"/>
    <w:rsid w:val="14E8498B"/>
    <w:rsid w:val="15E329A1"/>
    <w:rsid w:val="17DA1C7A"/>
    <w:rsid w:val="18F0644B"/>
    <w:rsid w:val="1A357F21"/>
    <w:rsid w:val="1BF12377"/>
    <w:rsid w:val="1CEA7802"/>
    <w:rsid w:val="1FF16DE9"/>
    <w:rsid w:val="20A976C4"/>
    <w:rsid w:val="21635AC5"/>
    <w:rsid w:val="22097CEF"/>
    <w:rsid w:val="23A14683"/>
    <w:rsid w:val="23BE00A5"/>
    <w:rsid w:val="25643BBA"/>
    <w:rsid w:val="25783B09"/>
    <w:rsid w:val="27906EE8"/>
    <w:rsid w:val="27E70AD2"/>
    <w:rsid w:val="288036A6"/>
    <w:rsid w:val="2A305142"/>
    <w:rsid w:val="2BC929C8"/>
    <w:rsid w:val="2C295B25"/>
    <w:rsid w:val="2DB346A6"/>
    <w:rsid w:val="2EC639EA"/>
    <w:rsid w:val="304E5B92"/>
    <w:rsid w:val="33704071"/>
    <w:rsid w:val="36EB3879"/>
    <w:rsid w:val="37114410"/>
    <w:rsid w:val="37B55AC7"/>
    <w:rsid w:val="3F8A0269"/>
    <w:rsid w:val="431C742A"/>
    <w:rsid w:val="44A724D3"/>
    <w:rsid w:val="45237196"/>
    <w:rsid w:val="457C2402"/>
    <w:rsid w:val="47590EF8"/>
    <w:rsid w:val="495B12F2"/>
    <w:rsid w:val="49BC1967"/>
    <w:rsid w:val="4A6E468C"/>
    <w:rsid w:val="4C9C5185"/>
    <w:rsid w:val="4DA90454"/>
    <w:rsid w:val="4F6F7E52"/>
    <w:rsid w:val="5181771E"/>
    <w:rsid w:val="51FA554B"/>
    <w:rsid w:val="54866DF9"/>
    <w:rsid w:val="5C981DBF"/>
    <w:rsid w:val="5E31427A"/>
    <w:rsid w:val="5F4678B1"/>
    <w:rsid w:val="5FA618DD"/>
    <w:rsid w:val="5FDE3F8D"/>
    <w:rsid w:val="631657EC"/>
    <w:rsid w:val="65921C11"/>
    <w:rsid w:val="6632446A"/>
    <w:rsid w:val="66867795"/>
    <w:rsid w:val="66C62C39"/>
    <w:rsid w:val="66E62104"/>
    <w:rsid w:val="68784779"/>
    <w:rsid w:val="688431F8"/>
    <w:rsid w:val="69265FC1"/>
    <w:rsid w:val="6A331379"/>
    <w:rsid w:val="6BFE1706"/>
    <w:rsid w:val="6F152DFC"/>
    <w:rsid w:val="71C64881"/>
    <w:rsid w:val="74503B27"/>
    <w:rsid w:val="754E0E15"/>
    <w:rsid w:val="79140292"/>
    <w:rsid w:val="7B05466C"/>
    <w:rsid w:val="7DD1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6">
    <w:name w:val="annotation text"/>
    <w:basedOn w:val="1"/>
    <w:link w:val="21"/>
    <w:qFormat/>
    <w:uiPriority w:val="0"/>
    <w:pPr>
      <w:jc w:val="left"/>
    </w:pPr>
    <w:rPr>
      <w:szCs w:val="24"/>
    </w:rPr>
  </w:style>
  <w:style w:type="paragraph" w:styleId="7">
    <w:name w:val="Balloon Text"/>
    <w:basedOn w:val="1"/>
    <w:link w:val="22"/>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3"/>
    <w:semiHidden/>
    <w:unhideWhenUsed/>
    <w:qFormat/>
    <w:uiPriority w:val="99"/>
    <w:rPr>
      <w:b/>
      <w:bCs/>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1 字符"/>
    <w:basedOn w:val="13"/>
    <w:link w:val="3"/>
    <w:qFormat/>
    <w:uiPriority w:val="9"/>
    <w:rPr>
      <w:b/>
      <w:bCs/>
      <w:kern w:val="44"/>
      <w:sz w:val="44"/>
      <w:szCs w:val="44"/>
    </w:rPr>
  </w:style>
  <w:style w:type="character" w:customStyle="1" w:styleId="18">
    <w:name w:val="标题 2 字符"/>
    <w:basedOn w:val="13"/>
    <w:link w:val="4"/>
    <w:qFormat/>
    <w:uiPriority w:val="9"/>
    <w:rPr>
      <w:rFonts w:asciiTheme="majorHAnsi" w:hAnsiTheme="majorHAnsi" w:eastAsiaTheme="majorEastAsia" w:cstheme="majorBidi"/>
      <w:b/>
      <w:bCs/>
      <w:sz w:val="32"/>
      <w:szCs w:val="32"/>
    </w:rPr>
  </w:style>
  <w:style w:type="paragraph" w:styleId="19">
    <w:name w:val="List Paragraph"/>
    <w:basedOn w:val="1"/>
    <w:qFormat/>
    <w:uiPriority w:val="34"/>
    <w:pPr>
      <w:ind w:firstLine="420" w:firstLineChars="200"/>
    </w:pPr>
  </w:style>
  <w:style w:type="character" w:customStyle="1" w:styleId="20">
    <w:name w:val="标题 3 字符"/>
    <w:basedOn w:val="13"/>
    <w:link w:val="5"/>
    <w:qFormat/>
    <w:uiPriority w:val="9"/>
    <w:rPr>
      <w:b/>
      <w:bCs/>
      <w:sz w:val="32"/>
      <w:szCs w:val="32"/>
    </w:rPr>
  </w:style>
  <w:style w:type="character" w:customStyle="1" w:styleId="21">
    <w:name w:val="批注文字 字符"/>
    <w:basedOn w:val="13"/>
    <w:link w:val="6"/>
    <w:qFormat/>
    <w:uiPriority w:val="0"/>
    <w:rPr>
      <w:szCs w:val="24"/>
    </w:rPr>
  </w:style>
  <w:style w:type="character" w:customStyle="1" w:styleId="22">
    <w:name w:val="批注框文本 字符"/>
    <w:basedOn w:val="13"/>
    <w:link w:val="7"/>
    <w:semiHidden/>
    <w:qFormat/>
    <w:uiPriority w:val="99"/>
    <w:rPr>
      <w:kern w:val="2"/>
      <w:sz w:val="18"/>
      <w:szCs w:val="18"/>
    </w:rPr>
  </w:style>
  <w:style w:type="character" w:customStyle="1" w:styleId="23">
    <w:name w:val="批注主题 字符"/>
    <w:basedOn w:val="21"/>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F7CB7-4DB5-43D9-9DFA-8772B62FF52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4395</Words>
  <Characters>4699</Characters>
  <Lines>11</Lines>
  <Paragraphs>3</Paragraphs>
  <TotalTime>0</TotalTime>
  <ScaleCrop>false</ScaleCrop>
  <LinksUpToDate>false</LinksUpToDate>
  <CharactersWithSpaces>4710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2019-03-02T07:12:00Z</dcterms:created>
  <dc:creator>微软用户</dc:creator>
  <cp:lastModifiedBy>Administrator</cp:lastModifiedBy>
  <dcterms:modified xsi:type="dcterms:W3CDTF">2023-06-19T08:07:16Z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E4AF7062F0464B9B9754C927C3DA8498</vt:lpwstr>
  </property>
</Properties>
</file>