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自贡市第三人民医院污水处理站运维服务需求</w:t>
      </w:r>
    </w:p>
    <w:p>
      <w:pPr>
        <w:pStyle w:val="4"/>
        <w:rPr>
          <w:rFonts w:hint="eastAsia"/>
          <w:lang w:val="en-US" w:eastAsia="zh-CN"/>
        </w:rPr>
      </w:pPr>
    </w:p>
    <w:p>
      <w:pPr>
        <w:ind w:left="0" w:leftChars="0"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bookmarkStart w:id="0" w:name="_Toc11298"/>
      <w:bookmarkStart w:id="1" w:name="_Toc13068"/>
      <w:bookmarkStart w:id="2" w:name="_Toc10991"/>
      <w:bookmarkStart w:id="3" w:name="_Toc4261"/>
      <w:bookmarkStart w:id="4" w:name="_Toc21735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一、资格、资质性要求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具有独立承担民事责任的能力。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具有良好的商业信誉和健全的财务会计制度。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具有履行合同所必需资质、设备和专业技术能力。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具有依法缴纳税收和社会保障资金的良好记录。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参加本次政府采购活动前三年内，在经营活动中没有重大违法记录。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法律、行政法规规定的其他条件。</w:t>
      </w:r>
    </w:p>
    <w:p>
      <w:pPr>
        <w:ind w:left="0" w:leftChars="0" w:firstLine="60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污废水处理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服务需求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.人员配备：2</w:t>
      </w:r>
      <w:r>
        <w:rPr>
          <w:rFonts w:hint="eastAsia" w:ascii="仿宋_GB2312" w:hAnsi="仿宋_GB2312" w:eastAsia="仿宋_GB2312" w:cs="仿宋_GB2312"/>
          <w:sz w:val="30"/>
          <w:szCs w:val="30"/>
        </w:rPr>
        <w:t>名维保人员（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一用一备，确保维护工作能够有效保障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），1名技术负责人（指导技术及疑难问题的解决），1名项目经理（与属地环保、卫生管理部门及相关人员协调对接）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建立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0"/>
          <w:szCs w:val="30"/>
        </w:rPr>
        <w:t>管理标准，站内卫生清洁、各项记录的填写、归档（各种自检、委外检测的数据整理记录；设备运转运行记录；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填写维修保养记录；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根据国家环保相关要求对污水处理站标牌标识进行规范化管理，及时更新（含上墙资料、管理制度、工作职责、应急措施、工艺流程、管道走向标识、构筑物标牌、处理设备标牌、进出水环保标识等）。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维保人员每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0"/>
          <w:szCs w:val="30"/>
        </w:rPr>
        <w:t>巡检，技术负责人及项目经理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作为技术和管理支撑</w:t>
      </w:r>
      <w:r>
        <w:rPr>
          <w:rFonts w:hint="eastAsia" w:ascii="仿宋_GB2312" w:hAnsi="仿宋_GB2312" w:eastAsia="仿宋_GB2312" w:cs="仿宋_GB2312"/>
          <w:sz w:val="30"/>
          <w:szCs w:val="30"/>
        </w:rPr>
        <w:t>解决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运行过程中的技术</w:t>
      </w:r>
      <w:r>
        <w:rPr>
          <w:rFonts w:hint="eastAsia" w:ascii="仿宋_GB2312" w:hAnsi="仿宋_GB2312" w:eastAsia="仿宋_GB2312" w:cs="仿宋_GB2312"/>
          <w:sz w:val="30"/>
          <w:szCs w:val="30"/>
        </w:rPr>
        <w:t>问题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及环保问题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相关上级卫生、防疫、环保等管理部门的检查参观陪同及解说。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提供环保管家服务，包括排污许可证管理工作（执行报告、信息公开、台帐上传）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每年组织两次现场应急演练。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如出水水质、软、硬件的规范性不满足现行或即行实施的标准和要求，维保单位负责在污水处理站的基础条件上，提出合理化建议、整改、设计思路供医院参考。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服务范围主要包括：格栅池、调节池、厌氧池、缺氧池、好氧池、沉淀池、消毒池、清水池、出水渠、中控室、鼓风机房、加药间的维护和所有机电、自控设施的运行、维修、保养工作。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排放标准：《医疗机构水污染物排放标准》（表2）预处理标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三、在线设备维保服务需求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按照水污染源在线监测系统运行技术规范HJ 355-2019执行在线设备进行日常维护，具体如下：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巡检工作：①每日远程巡检历史数据并检查有无异常（维保公司提供数据传输平台，并自带APP功能并能绑定微信公众号）；②每周对在线设备进行巡检、并按记录本如实根据实际情况逐一填写；③每周对采样泵或滤网进行清洗；④每周现场对设备传数据采集仪历史数据一致性进行检查；⑤每周对PH及余氯进行手工比对测试；⑥每周检查监测设备试剂剩余量，需要补充在一周前作准备。⑦现场cod监测频次2小时1次，每日12个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校标及标样核查要求:①每周对cod进行手动或自动校标，校标不通过需检查原因重新校标，校标合格后与手写参数核对；②cod开启每日自动标样核查，核查标样浓度为工作量程上限的0.5；③cod每月进行一次实际水样比对试验；④pH、水温计每月进行一次现场水温比对试验；⑤明渠流量计每季度进行一次比对试验；⑥cod、pH、水温、明渠流量计每年进行一起计量检定，并获得相应的报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其它新增的数据采集在线监测仪器校标等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标样、试剂更换废液收集：①试剂及标样根据现场填写标签及使用日期，确保现场使用所有试剂均在有限期内，每次更换试剂标样需如实记录并重新对设备进行标定、校准；②废液（含清洗液）收集需如实填写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在线运维环境：①运维记录本齐全（根据现场实际要求及属地主管部门要求进行调整）；②采样管路标识走向张贴，废液桶张贴危险废物标识，站房内不得存放除设备自带废液桶的其他废液；④安装并使用空调（室内温度设置要求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</w:rPr>
        <w:t>25度）；⑤流量、COD因子传数据采集仪必须使用数字信号传输（保证无传输误差）；⑥站房内有在线运维规章制度上墙；（单项材料在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0"/>
          <w:szCs w:val="30"/>
        </w:rPr>
        <w:t>元以内免费更换，超过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00元的材料或设备由甲方确认后更换）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所有电气、自控、工艺设备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维护保养（含易损耗备品备件存放于现场）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维保期间所有损坏的材料及设备维修（单项材料在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元以内免费更换，超过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00元的材料或设备由甲方确认后更换）</w:t>
      </w:r>
    </w:p>
    <w:p>
      <w:pPr>
        <w:pStyle w:val="4"/>
        <w:numPr>
          <w:ilvl w:val="0"/>
          <w:numId w:val="1"/>
        </w:numPr>
        <w:ind w:firstLine="600" w:firstLineChars="200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服务点位</w:t>
      </w:r>
    </w:p>
    <w:p>
      <w:pPr>
        <w:numPr>
          <w:numId w:val="0"/>
        </w:numPr>
        <w:ind w:firstLine="600" w:firstLineChars="200"/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>医院本部和济慈医疗部两处污水处理站</w:t>
      </w:r>
    </w:p>
    <w:p>
      <w:pPr>
        <w:numPr>
          <w:ilvl w:val="0"/>
          <w:numId w:val="2"/>
        </w:numP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 w:bidi="ar-SA"/>
        </w:rPr>
        <w:t>服务期限</w:t>
      </w:r>
    </w:p>
    <w:p>
      <w:pPr>
        <w:pStyle w:val="2"/>
        <w:numPr>
          <w:ilvl w:val="0"/>
          <w:numId w:val="0"/>
        </w:numPr>
        <w:ind w:firstLine="900" w:firstLineChars="300"/>
        <w:jc w:val="left"/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0"/>
          <w:szCs w:val="30"/>
          <w:lang w:val="en-US" w:eastAsia="zh-CN" w:bidi="ar-SA"/>
        </w:rPr>
        <w:t>一年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14619"/>
    <w:multiLevelType w:val="singleLevel"/>
    <w:tmpl w:val="AEF1461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C88063"/>
    <w:multiLevelType w:val="singleLevel"/>
    <w:tmpl w:val="64C8806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2556122"/>
    <w:rsid w:val="0D4C612B"/>
    <w:rsid w:val="0DF600B9"/>
    <w:rsid w:val="1EAC2B1D"/>
    <w:rsid w:val="365A2BD1"/>
    <w:rsid w:val="38FE71A3"/>
    <w:rsid w:val="3E99312A"/>
    <w:rsid w:val="43B22F67"/>
    <w:rsid w:val="4A9A5AC4"/>
    <w:rsid w:val="4CF623E0"/>
    <w:rsid w:val="5F4365D4"/>
    <w:rsid w:val="68BC6AAE"/>
    <w:rsid w:val="72CD7D3F"/>
    <w:rsid w:val="7F5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1613</Characters>
  <Lines>0</Lines>
  <Paragraphs>0</Paragraphs>
  <TotalTime>4</TotalTime>
  <ScaleCrop>false</ScaleCrop>
  <LinksUpToDate>false</LinksUpToDate>
  <CharactersWithSpaces>1615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2022-05-31T02:04:00Z</dcterms:created>
  <dc:creator>test</dc:creator>
  <cp:lastModifiedBy>仰望星空</cp:lastModifiedBy>
  <dcterms:modified xsi:type="dcterms:W3CDTF">2022-07-07T02:46:57Z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3915996C4E594187BC2427BFABCBB2E1</vt:lpwstr>
  </property>
</Properties>
</file>